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43F75C" w14:textId="68572594" w:rsidR="004F5FF1" w:rsidRDefault="004F5FF1" w:rsidP="0019129A">
      <w:pPr>
        <w:spacing w:after="160"/>
        <w:jc w:val="right"/>
        <w:rPr>
          <w:rFonts w:ascii="Arial" w:hAnsi="Arial" w:cs="Arial"/>
          <w:b/>
          <w:sz w:val="24"/>
          <w:szCs w:val="24"/>
        </w:rPr>
      </w:pPr>
    </w:p>
    <w:p w14:paraId="786370E2" w14:textId="64A806EF" w:rsidR="0019129A" w:rsidRDefault="0019129A" w:rsidP="00DB46A1">
      <w:pPr>
        <w:spacing w:after="160"/>
        <w:rPr>
          <w:rFonts w:ascii="Arial" w:hAnsi="Arial" w:cs="Arial"/>
          <w:b/>
          <w:sz w:val="24"/>
          <w:szCs w:val="24"/>
        </w:rPr>
      </w:pPr>
    </w:p>
    <w:p w14:paraId="1D1EE4CE" w14:textId="77777777" w:rsidR="005E4A53" w:rsidRDefault="005E4A53" w:rsidP="00DB46A1">
      <w:pPr>
        <w:spacing w:after="160"/>
        <w:rPr>
          <w:rFonts w:ascii="Arial" w:hAnsi="Arial" w:cs="Arial"/>
          <w:b/>
          <w:sz w:val="24"/>
          <w:szCs w:val="24"/>
        </w:rPr>
      </w:pPr>
    </w:p>
    <w:p w14:paraId="19EE750E" w14:textId="4B4F8ED4" w:rsidR="0019129A" w:rsidRDefault="0019129A" w:rsidP="0019129A">
      <w:pPr>
        <w:spacing w:after="160"/>
        <w:jc w:val="center"/>
        <w:rPr>
          <w:rFonts w:ascii="Arial" w:hAnsi="Arial" w:cs="Arial"/>
          <w:b/>
          <w:sz w:val="24"/>
          <w:szCs w:val="24"/>
        </w:rPr>
      </w:pPr>
    </w:p>
    <w:p w14:paraId="290B8E7D" w14:textId="1EE9D299" w:rsidR="009C6BE2" w:rsidRPr="006872AF" w:rsidRDefault="001F1D77" w:rsidP="009C6BE2">
      <w:pPr>
        <w:pStyle w:val="Heading1"/>
        <w:spacing w:line="259" w:lineRule="auto"/>
        <w:rPr>
          <w:rFonts w:asciiTheme="minorHAnsi" w:hAnsiTheme="minorHAnsi" w:cstheme="minorHAnsi"/>
          <w:b/>
          <w:bCs/>
          <w:color w:val="0B1641"/>
          <w:sz w:val="44"/>
          <w:szCs w:val="40"/>
        </w:rPr>
      </w:pPr>
      <w:bookmarkStart w:id="0" w:name="_bookmark0"/>
      <w:bookmarkEnd w:id="0"/>
      <w:r w:rsidRPr="006872AF">
        <w:rPr>
          <w:rFonts w:asciiTheme="minorHAnsi" w:hAnsiTheme="minorHAnsi" w:cstheme="minorHAnsi"/>
          <w:b/>
          <w:bCs/>
          <w:color w:val="0B1641"/>
          <w:sz w:val="44"/>
          <w:szCs w:val="40"/>
        </w:rPr>
        <w:t xml:space="preserve">COMPLIANCE STATEMENT </w:t>
      </w:r>
    </w:p>
    <w:p w14:paraId="462726B1" w14:textId="0B4B433A" w:rsidR="009C6BE2" w:rsidRDefault="009C6BE2" w:rsidP="009C6BE2">
      <w:pPr>
        <w:spacing w:after="160"/>
        <w:jc w:val="both"/>
        <w:rPr>
          <w:rFonts w:ascii="Arial" w:hAnsi="Arial" w:cs="Arial"/>
          <w:b/>
          <w:sz w:val="24"/>
          <w:szCs w:val="24"/>
        </w:rPr>
      </w:pPr>
    </w:p>
    <w:p w14:paraId="615ECE20" w14:textId="5A235975" w:rsidR="00F14019" w:rsidRDefault="00905592" w:rsidP="009C6BE2">
      <w:pPr>
        <w:spacing w:after="160"/>
        <w:jc w:val="both"/>
        <w:rPr>
          <w:rFonts w:ascii="Arial" w:hAnsi="Arial" w:cs="Arial"/>
          <w:b/>
          <w:sz w:val="24"/>
          <w:szCs w:val="24"/>
        </w:rPr>
      </w:pPr>
      <w:r>
        <w:rPr>
          <w:rFonts w:ascii="Arial" w:hAnsi="Arial" w:cs="Arial"/>
          <w:b/>
          <w:sz w:val="24"/>
          <w:szCs w:val="24"/>
        </w:rPr>
        <w:t>October</w:t>
      </w:r>
      <w:r w:rsidR="00F14019">
        <w:rPr>
          <w:rFonts w:ascii="Arial" w:hAnsi="Arial" w:cs="Arial"/>
          <w:b/>
          <w:sz w:val="24"/>
          <w:szCs w:val="24"/>
        </w:rPr>
        <w:t xml:space="preserve"> 2020</w:t>
      </w:r>
    </w:p>
    <w:p w14:paraId="53261F38" w14:textId="77777777" w:rsidR="002F17C9" w:rsidRDefault="002F17C9" w:rsidP="009C6BE2">
      <w:pPr>
        <w:spacing w:after="160"/>
        <w:jc w:val="both"/>
        <w:rPr>
          <w:rFonts w:ascii="Arial" w:hAnsi="Arial" w:cs="Arial"/>
          <w:b/>
          <w:sz w:val="24"/>
          <w:szCs w:val="24"/>
        </w:rPr>
      </w:pPr>
    </w:p>
    <w:p w14:paraId="2A20DF1B" w14:textId="615A2BB0" w:rsidR="002F17C9" w:rsidRDefault="002F17C9" w:rsidP="009C6BE2">
      <w:pPr>
        <w:spacing w:after="160"/>
        <w:jc w:val="both"/>
        <w:rPr>
          <w:rFonts w:ascii="Arial" w:hAnsi="Arial" w:cs="Arial"/>
          <w:b/>
          <w:sz w:val="24"/>
          <w:szCs w:val="24"/>
        </w:rPr>
      </w:pPr>
    </w:p>
    <w:p w14:paraId="5B4AFAF1" w14:textId="7175C8EB" w:rsidR="00C119AC" w:rsidRDefault="00C119AC" w:rsidP="009C6BE2">
      <w:pPr>
        <w:spacing w:after="160"/>
        <w:jc w:val="both"/>
        <w:rPr>
          <w:rFonts w:ascii="Arial" w:hAnsi="Arial" w:cs="Arial"/>
          <w:b/>
          <w:sz w:val="24"/>
          <w:szCs w:val="24"/>
        </w:rPr>
      </w:pPr>
    </w:p>
    <w:p w14:paraId="4EA9CDAA" w14:textId="3AE54B79" w:rsidR="00C119AC" w:rsidRDefault="00C119AC" w:rsidP="009C6BE2">
      <w:pPr>
        <w:spacing w:after="160"/>
        <w:jc w:val="both"/>
        <w:rPr>
          <w:rFonts w:ascii="Arial" w:hAnsi="Arial" w:cs="Arial"/>
          <w:b/>
          <w:sz w:val="24"/>
          <w:szCs w:val="24"/>
        </w:rPr>
      </w:pPr>
    </w:p>
    <w:p w14:paraId="098D315C" w14:textId="77777777" w:rsidR="00C119AC" w:rsidRDefault="00C119AC" w:rsidP="009C6BE2">
      <w:pPr>
        <w:spacing w:after="160"/>
        <w:jc w:val="both"/>
        <w:rPr>
          <w:rFonts w:ascii="Arial" w:hAnsi="Arial" w:cs="Arial"/>
          <w:b/>
          <w:sz w:val="24"/>
          <w:szCs w:val="24"/>
        </w:rPr>
      </w:pPr>
    </w:p>
    <w:p w14:paraId="2AEA034A" w14:textId="77777777" w:rsidR="002F17C9" w:rsidRDefault="002F17C9" w:rsidP="009C6BE2">
      <w:pPr>
        <w:spacing w:after="160"/>
        <w:jc w:val="both"/>
        <w:rPr>
          <w:rFonts w:ascii="Arial" w:hAnsi="Arial" w:cs="Arial"/>
          <w:b/>
          <w:sz w:val="24"/>
          <w:szCs w:val="24"/>
        </w:rPr>
      </w:pPr>
    </w:p>
    <w:p w14:paraId="31D5E83F" w14:textId="77777777" w:rsidR="002F17C9" w:rsidRDefault="002F17C9" w:rsidP="009C6BE2">
      <w:pPr>
        <w:spacing w:after="160"/>
        <w:jc w:val="both"/>
        <w:rPr>
          <w:rFonts w:ascii="Arial" w:hAnsi="Arial" w:cs="Arial"/>
          <w:b/>
          <w:sz w:val="24"/>
          <w:szCs w:val="24"/>
        </w:rPr>
      </w:pPr>
    </w:p>
    <w:p w14:paraId="6C0D63BD" w14:textId="180382B1" w:rsidR="004F5FF1" w:rsidRDefault="004F5FF1" w:rsidP="00C92964">
      <w:pPr>
        <w:spacing w:after="160"/>
        <w:rPr>
          <w:rFonts w:ascii="Arial" w:hAnsi="Arial" w:cs="Arial"/>
          <w:b/>
          <w:sz w:val="24"/>
          <w:szCs w:val="24"/>
          <w:u w:val="single"/>
        </w:rPr>
      </w:pPr>
    </w:p>
    <w:p w14:paraId="47C09E87" w14:textId="438E6FA5" w:rsidR="009C6BE2" w:rsidRDefault="009C6BE2" w:rsidP="00C92964">
      <w:pPr>
        <w:spacing w:after="160"/>
        <w:rPr>
          <w:rFonts w:ascii="Arial" w:hAnsi="Arial" w:cs="Arial"/>
          <w:b/>
          <w:sz w:val="24"/>
          <w:szCs w:val="24"/>
          <w:u w:val="single"/>
        </w:rPr>
      </w:pPr>
    </w:p>
    <w:p w14:paraId="4A5DD52C" w14:textId="0CC7D6B9" w:rsidR="009C6BE2" w:rsidRDefault="009C6BE2" w:rsidP="00C92964">
      <w:pPr>
        <w:spacing w:after="160"/>
        <w:rPr>
          <w:rFonts w:ascii="Arial" w:hAnsi="Arial" w:cs="Arial"/>
          <w:b/>
          <w:sz w:val="24"/>
          <w:szCs w:val="24"/>
          <w:u w:val="single"/>
        </w:rPr>
      </w:pPr>
    </w:p>
    <w:p w14:paraId="16B69E0B" w14:textId="77777777" w:rsidR="007958EA" w:rsidRDefault="007958EA" w:rsidP="00C92964">
      <w:pPr>
        <w:spacing w:after="160"/>
        <w:rPr>
          <w:rFonts w:ascii="Arial" w:hAnsi="Arial" w:cs="Arial"/>
          <w:b/>
          <w:sz w:val="24"/>
          <w:szCs w:val="24"/>
          <w:u w:val="single"/>
        </w:rPr>
      </w:pPr>
    </w:p>
    <w:p w14:paraId="01D4166E" w14:textId="199D97DD" w:rsidR="009C6BE2" w:rsidRDefault="009C6BE2" w:rsidP="00C92964">
      <w:pPr>
        <w:spacing w:after="160"/>
        <w:rPr>
          <w:rFonts w:ascii="Arial" w:hAnsi="Arial" w:cs="Arial"/>
          <w:b/>
          <w:sz w:val="24"/>
          <w:szCs w:val="24"/>
          <w:u w:val="single"/>
        </w:rPr>
      </w:pPr>
    </w:p>
    <w:p w14:paraId="4DD7AAF6" w14:textId="78CA2FDD" w:rsidR="007958EA" w:rsidRDefault="007958EA" w:rsidP="00C92964">
      <w:pPr>
        <w:spacing w:after="160"/>
        <w:rPr>
          <w:rFonts w:ascii="Arial" w:hAnsi="Arial" w:cs="Arial"/>
          <w:b/>
          <w:sz w:val="24"/>
          <w:szCs w:val="24"/>
          <w:u w:val="single"/>
        </w:rPr>
      </w:pPr>
    </w:p>
    <w:p w14:paraId="7038A79D" w14:textId="5810F526" w:rsidR="00545C08" w:rsidRPr="00545C08" w:rsidRDefault="00545C08" w:rsidP="00545C08">
      <w:pPr>
        <w:pStyle w:val="Footer"/>
      </w:pPr>
    </w:p>
    <w:p w14:paraId="358C4959" w14:textId="61E6AF66" w:rsidR="009C6BE2" w:rsidRDefault="009C6BE2" w:rsidP="00C92964">
      <w:pPr>
        <w:spacing w:after="160"/>
        <w:rPr>
          <w:rFonts w:ascii="Arial" w:hAnsi="Arial" w:cs="Arial"/>
          <w:b/>
          <w:sz w:val="24"/>
          <w:szCs w:val="24"/>
          <w:u w:val="single"/>
        </w:rPr>
      </w:pPr>
    </w:p>
    <w:p w14:paraId="0AEE140E" w14:textId="096D63DD" w:rsidR="005E4A53" w:rsidRDefault="005E4A53" w:rsidP="002F17C9">
      <w:pPr>
        <w:spacing w:after="160"/>
        <w:jc w:val="both"/>
        <w:rPr>
          <w:rFonts w:ascii="Arial" w:eastAsiaTheme="majorEastAsia" w:hAnsi="Arial" w:cs="Arial"/>
          <w:b/>
          <w:bCs/>
          <w:color w:val="0B1641"/>
          <w:sz w:val="24"/>
          <w:szCs w:val="24"/>
        </w:rPr>
      </w:pPr>
    </w:p>
    <w:p w14:paraId="1A1BA51F" w14:textId="26DB7ECE" w:rsidR="001F1D77" w:rsidRPr="006872AF" w:rsidRDefault="001F1D77" w:rsidP="002F17C9">
      <w:pPr>
        <w:spacing w:after="160"/>
        <w:jc w:val="both"/>
        <w:rPr>
          <w:rFonts w:eastAsiaTheme="majorEastAsia" w:cstheme="minorHAnsi"/>
          <w:b/>
          <w:bCs/>
          <w:sz w:val="24"/>
          <w:szCs w:val="24"/>
        </w:rPr>
      </w:pPr>
      <w:r w:rsidRPr="006872AF">
        <w:rPr>
          <w:rFonts w:eastAsiaTheme="majorEastAsia" w:cstheme="minorHAnsi"/>
          <w:b/>
          <w:bCs/>
          <w:sz w:val="24"/>
          <w:szCs w:val="24"/>
        </w:rPr>
        <w:t xml:space="preserve">Compliance Statement </w:t>
      </w:r>
    </w:p>
    <w:p w14:paraId="3B12B05B" w14:textId="77777777" w:rsidR="001F1D77" w:rsidRDefault="001F1D77" w:rsidP="002F17C9">
      <w:pPr>
        <w:spacing w:after="160"/>
        <w:jc w:val="both"/>
        <w:rPr>
          <w:rFonts w:ascii="Arial" w:eastAsiaTheme="majorEastAsia" w:hAnsi="Arial" w:cs="Arial"/>
          <w:b/>
          <w:bCs/>
          <w:sz w:val="24"/>
          <w:szCs w:val="24"/>
        </w:rPr>
      </w:pPr>
    </w:p>
    <w:p w14:paraId="01F68B5D" w14:textId="00229BF4" w:rsidR="001F1D77" w:rsidRDefault="001F1D77" w:rsidP="002F17C9">
      <w:pPr>
        <w:spacing w:after="160"/>
        <w:jc w:val="both"/>
        <w:rPr>
          <w:rFonts w:ascii="Arial" w:eastAsiaTheme="majorEastAsia" w:hAnsi="Arial" w:cs="Arial"/>
          <w:b/>
          <w:bCs/>
          <w:sz w:val="24"/>
          <w:szCs w:val="24"/>
        </w:rPr>
      </w:pPr>
      <w:r>
        <w:t>This document represents the Compliance Statement pursuant to Article 26(3) of Regulation (EU) 2016/1011 (the “Benchmark Regulation” or “BMR”) of Investec Bank plc, an administrator of non-significant benchmarks. The table in Section B contains a list of the prov</w:t>
      </w:r>
      <w:r w:rsidR="00727A1C">
        <w:t>isions of the BMR that Investec Bank plc</w:t>
      </w:r>
      <w:r>
        <w:t xml:space="preserve"> has chosen not to apply, accompanied by an explanation for each provision stating why it is</w:t>
      </w:r>
      <w:r w:rsidR="00727A1C">
        <w:t xml:space="preserve"> not appropriate for Investec Bank plc </w:t>
      </w:r>
      <w:r>
        <w:t>to comply with it. This Compliance Statement has been drawn up in accordance with the template for the compliance statement in Annex II of the Commission Implementing Regulation (EU) 2018/1106.</w:t>
      </w:r>
    </w:p>
    <w:p w14:paraId="2E6432B9" w14:textId="6984BA0B" w:rsidR="0019129A" w:rsidRDefault="0019129A" w:rsidP="0019129A">
      <w:pPr>
        <w:spacing w:before="60" w:after="60"/>
        <w:rPr>
          <w:rFonts w:ascii="Arial" w:hAnsi="Arial" w:cs="Arial"/>
          <w:sz w:val="28"/>
        </w:rPr>
      </w:pPr>
    </w:p>
    <w:p w14:paraId="23E22E9C" w14:textId="76193DAE" w:rsidR="00754D2D" w:rsidRPr="006872AF" w:rsidRDefault="00754D2D" w:rsidP="00754D2D">
      <w:pPr>
        <w:pStyle w:val="ListParagraph"/>
        <w:numPr>
          <w:ilvl w:val="0"/>
          <w:numId w:val="8"/>
        </w:numPr>
        <w:spacing w:before="60" w:after="60"/>
        <w:rPr>
          <w:rFonts w:cstheme="minorHAnsi"/>
          <w:b/>
          <w:sz w:val="24"/>
          <w:szCs w:val="24"/>
        </w:rPr>
      </w:pPr>
      <w:r w:rsidRPr="006872AF">
        <w:rPr>
          <w:rFonts w:cstheme="minorHAnsi"/>
          <w:b/>
          <w:sz w:val="24"/>
          <w:szCs w:val="24"/>
        </w:rPr>
        <w:t xml:space="preserve">General Information </w:t>
      </w:r>
    </w:p>
    <w:p w14:paraId="4160206E" w14:textId="77777777" w:rsidR="004B5837" w:rsidRPr="004B5837" w:rsidRDefault="004B5837" w:rsidP="004B5837">
      <w:pPr>
        <w:pStyle w:val="ListParagraph"/>
        <w:spacing w:before="60" w:after="60"/>
        <w:ind w:left="510"/>
        <w:rPr>
          <w:rFonts w:ascii="Arial" w:hAnsi="Arial" w:cs="Arial"/>
          <w:b/>
          <w:sz w:val="24"/>
          <w:szCs w:val="24"/>
        </w:rPr>
      </w:pPr>
    </w:p>
    <w:tbl>
      <w:tblPr>
        <w:tblW w:w="8512"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0"/>
        <w:gridCol w:w="4252"/>
      </w:tblGrid>
      <w:tr w:rsidR="00101974" w:rsidRPr="0040752D" w14:paraId="247D409B" w14:textId="77777777" w:rsidTr="00101974">
        <w:trPr>
          <w:trHeight w:val="715"/>
        </w:trPr>
        <w:tc>
          <w:tcPr>
            <w:tcW w:w="4260" w:type="dxa"/>
          </w:tcPr>
          <w:p w14:paraId="54FABB2C" w14:textId="21D77C72" w:rsidR="00101974" w:rsidRPr="0040752D" w:rsidRDefault="00101974" w:rsidP="00D9397A">
            <w:pPr>
              <w:pStyle w:val="TableParagraph"/>
              <w:spacing w:before="88" w:line="261" w:lineRule="auto"/>
              <w:ind w:left="225" w:right="143" w:firstLine="9"/>
              <w:jc w:val="left"/>
              <w:rPr>
                <w:rFonts w:eastAsiaTheme="majorEastAsia"/>
                <w:b/>
                <w:bCs/>
                <w:lang w:eastAsia="en-US" w:bidi="ar-SA"/>
              </w:rPr>
            </w:pPr>
            <w:r>
              <w:rPr>
                <w:rFonts w:eastAsiaTheme="majorEastAsia"/>
                <w:b/>
                <w:bCs/>
                <w:lang w:eastAsia="en-US" w:bidi="ar-SA"/>
              </w:rPr>
              <w:t xml:space="preserve">Item </w:t>
            </w:r>
          </w:p>
        </w:tc>
        <w:tc>
          <w:tcPr>
            <w:tcW w:w="4252" w:type="dxa"/>
          </w:tcPr>
          <w:p w14:paraId="31EB6A44" w14:textId="6AAD624B" w:rsidR="00101974" w:rsidRPr="0040752D" w:rsidRDefault="00101974" w:rsidP="00101974">
            <w:pPr>
              <w:pStyle w:val="TableParagraph"/>
              <w:spacing w:before="88" w:line="261" w:lineRule="auto"/>
              <w:ind w:right="161"/>
              <w:jc w:val="left"/>
              <w:rPr>
                <w:rFonts w:eastAsiaTheme="majorEastAsia"/>
                <w:b/>
                <w:bCs/>
                <w:lang w:eastAsia="en-US" w:bidi="ar-SA"/>
              </w:rPr>
            </w:pPr>
            <w:r>
              <w:rPr>
                <w:rFonts w:eastAsiaTheme="majorEastAsia"/>
                <w:b/>
                <w:bCs/>
                <w:lang w:eastAsia="en-US" w:bidi="ar-SA"/>
              </w:rPr>
              <w:t xml:space="preserve">Text Field </w:t>
            </w:r>
          </w:p>
        </w:tc>
      </w:tr>
      <w:tr w:rsidR="00101974" w:rsidRPr="0040752D" w14:paraId="5A19E9AA" w14:textId="77777777" w:rsidTr="00101974">
        <w:trPr>
          <w:trHeight w:val="1271"/>
        </w:trPr>
        <w:tc>
          <w:tcPr>
            <w:tcW w:w="4260" w:type="dxa"/>
          </w:tcPr>
          <w:p w14:paraId="74243A4B" w14:textId="0F883B1A" w:rsidR="00101974" w:rsidRPr="006872AF" w:rsidRDefault="00101974" w:rsidP="006D2E3B">
            <w:pPr>
              <w:pStyle w:val="TableParagraph"/>
              <w:spacing w:before="74"/>
              <w:ind w:right="131"/>
              <w:rPr>
                <w:rFonts w:asciiTheme="minorHAnsi" w:eastAsiaTheme="majorEastAsia" w:hAnsiTheme="minorHAnsi" w:cstheme="minorHAnsi"/>
                <w:b/>
                <w:bCs/>
                <w:lang w:eastAsia="en-US" w:bidi="ar-SA"/>
              </w:rPr>
            </w:pPr>
            <w:r w:rsidRPr="006872AF">
              <w:rPr>
                <w:rFonts w:asciiTheme="minorHAnsi" w:hAnsiTheme="minorHAnsi" w:cstheme="minorHAnsi"/>
              </w:rPr>
              <w:t>1. Date of creation of the Compliance Statement and, where applicable, of the latest update to it.</w:t>
            </w:r>
          </w:p>
        </w:tc>
        <w:tc>
          <w:tcPr>
            <w:tcW w:w="4252" w:type="dxa"/>
          </w:tcPr>
          <w:p w14:paraId="48F165AF" w14:textId="716FD99C" w:rsidR="00101974" w:rsidRPr="006872AF" w:rsidRDefault="00905592" w:rsidP="006872AF">
            <w:pPr>
              <w:pStyle w:val="TableParagraph"/>
              <w:ind w:right="143"/>
              <w:rPr>
                <w:rFonts w:asciiTheme="minorHAnsi" w:hAnsiTheme="minorHAnsi" w:cstheme="minorHAnsi"/>
              </w:rPr>
            </w:pPr>
            <w:r>
              <w:rPr>
                <w:rFonts w:asciiTheme="minorHAnsi" w:hAnsiTheme="minorHAnsi" w:cstheme="minorHAnsi"/>
              </w:rPr>
              <w:t>1. Created: 12 February</w:t>
            </w:r>
            <w:r w:rsidR="00101974" w:rsidRPr="006872AF">
              <w:rPr>
                <w:rFonts w:asciiTheme="minorHAnsi" w:hAnsiTheme="minorHAnsi" w:cstheme="minorHAnsi"/>
              </w:rPr>
              <w:t>, 2020</w:t>
            </w:r>
          </w:p>
          <w:p w14:paraId="2CDD5418" w14:textId="19CC29AE" w:rsidR="002D4923" w:rsidRPr="00101974" w:rsidRDefault="002D4923" w:rsidP="006872AF">
            <w:pPr>
              <w:pStyle w:val="TableParagraph"/>
              <w:ind w:right="143"/>
              <w:rPr>
                <w:rFonts w:eastAsiaTheme="majorEastAsia"/>
                <w:bCs/>
                <w:i/>
                <w:lang w:eastAsia="en-US" w:bidi="ar-SA"/>
              </w:rPr>
            </w:pPr>
            <w:r w:rsidRPr="006872AF">
              <w:rPr>
                <w:rFonts w:asciiTheme="minorHAnsi" w:hAnsiTheme="minorHAnsi" w:cstheme="minorHAnsi"/>
              </w:rPr>
              <w:t>2. Last updated:</w:t>
            </w:r>
            <w:r w:rsidR="00905592">
              <w:rPr>
                <w:rFonts w:asciiTheme="minorHAnsi" w:hAnsiTheme="minorHAnsi" w:cstheme="minorHAnsi"/>
              </w:rPr>
              <w:t xml:space="preserve"> 1 October 2020</w:t>
            </w:r>
          </w:p>
        </w:tc>
      </w:tr>
      <w:tr w:rsidR="00101974" w:rsidRPr="0040752D" w14:paraId="2EFBE545" w14:textId="77777777" w:rsidTr="00101974">
        <w:trPr>
          <w:trHeight w:val="523"/>
        </w:trPr>
        <w:tc>
          <w:tcPr>
            <w:tcW w:w="4260" w:type="dxa"/>
          </w:tcPr>
          <w:p w14:paraId="2F26020A" w14:textId="1A626970" w:rsidR="00101974" w:rsidRPr="006872AF" w:rsidRDefault="00101974" w:rsidP="006D2E3B">
            <w:pPr>
              <w:pStyle w:val="TableParagraph"/>
              <w:spacing w:before="74"/>
              <w:ind w:left="-5" w:right="131"/>
              <w:rPr>
                <w:rFonts w:asciiTheme="minorHAnsi" w:eastAsiaTheme="majorEastAsia" w:hAnsiTheme="minorHAnsi" w:cstheme="minorHAnsi"/>
                <w:b/>
                <w:bCs/>
                <w:lang w:eastAsia="en-US" w:bidi="ar-SA"/>
              </w:rPr>
            </w:pPr>
            <w:r w:rsidRPr="006872AF">
              <w:rPr>
                <w:rFonts w:asciiTheme="minorHAnsi" w:hAnsiTheme="minorHAnsi" w:cstheme="minorHAnsi"/>
              </w:rPr>
              <w:t>2. Name of the administrator</w:t>
            </w:r>
          </w:p>
        </w:tc>
        <w:tc>
          <w:tcPr>
            <w:tcW w:w="4252" w:type="dxa"/>
          </w:tcPr>
          <w:p w14:paraId="20FCD03A" w14:textId="2D35950A" w:rsidR="00101974" w:rsidRPr="006872AF" w:rsidRDefault="00070F8A" w:rsidP="006D2E3B">
            <w:pPr>
              <w:pStyle w:val="TableParagraph"/>
              <w:spacing w:before="19"/>
              <w:ind w:left="642" w:right="582"/>
              <w:rPr>
                <w:rFonts w:asciiTheme="minorHAnsi" w:eastAsiaTheme="majorEastAsia" w:hAnsiTheme="minorHAnsi" w:cstheme="minorHAnsi"/>
                <w:bCs/>
                <w:lang w:eastAsia="en-US" w:bidi="ar-SA"/>
              </w:rPr>
            </w:pPr>
            <w:r w:rsidRPr="006872AF">
              <w:rPr>
                <w:rFonts w:asciiTheme="minorHAnsi" w:eastAsiaTheme="majorEastAsia" w:hAnsiTheme="minorHAnsi" w:cstheme="minorHAnsi"/>
                <w:bCs/>
                <w:lang w:eastAsia="en-US" w:bidi="ar-SA"/>
              </w:rPr>
              <w:t>Investec Bank plc</w:t>
            </w:r>
          </w:p>
        </w:tc>
      </w:tr>
      <w:tr w:rsidR="0065104C" w:rsidRPr="0040752D" w14:paraId="4ED33577" w14:textId="77777777" w:rsidTr="00101974">
        <w:trPr>
          <w:trHeight w:val="523"/>
        </w:trPr>
        <w:tc>
          <w:tcPr>
            <w:tcW w:w="4260" w:type="dxa"/>
          </w:tcPr>
          <w:p w14:paraId="1B9DCACD" w14:textId="001F070A" w:rsidR="0065104C" w:rsidRPr="006872AF" w:rsidRDefault="002D4923" w:rsidP="006D2E3B">
            <w:pPr>
              <w:pStyle w:val="TableParagraph"/>
              <w:spacing w:before="74"/>
              <w:ind w:left="-5" w:right="131"/>
              <w:rPr>
                <w:rFonts w:asciiTheme="minorHAnsi" w:hAnsiTheme="minorHAnsi" w:cstheme="minorHAnsi"/>
              </w:rPr>
            </w:pPr>
            <w:r w:rsidRPr="006872AF">
              <w:rPr>
                <w:rFonts w:asciiTheme="minorHAnsi" w:hAnsiTheme="minorHAnsi" w:cstheme="minorHAnsi"/>
              </w:rPr>
              <w:t xml:space="preserve">3. </w:t>
            </w:r>
            <w:r w:rsidR="0065104C" w:rsidRPr="006872AF">
              <w:rPr>
                <w:rFonts w:asciiTheme="minorHAnsi" w:hAnsiTheme="minorHAnsi" w:cstheme="minorHAnsi"/>
              </w:rPr>
              <w:t>National Competent Authority</w:t>
            </w:r>
          </w:p>
        </w:tc>
        <w:tc>
          <w:tcPr>
            <w:tcW w:w="4252" w:type="dxa"/>
          </w:tcPr>
          <w:p w14:paraId="0F79CDA7" w14:textId="4D21CA0E" w:rsidR="0065104C" w:rsidRPr="006872AF" w:rsidRDefault="0065104C" w:rsidP="006D2E3B">
            <w:pPr>
              <w:pStyle w:val="TableParagraph"/>
              <w:spacing w:before="19"/>
              <w:ind w:left="642" w:right="582"/>
              <w:rPr>
                <w:rFonts w:asciiTheme="minorHAnsi" w:eastAsiaTheme="majorEastAsia" w:hAnsiTheme="minorHAnsi" w:cstheme="minorHAnsi"/>
                <w:bCs/>
                <w:lang w:eastAsia="en-US" w:bidi="ar-SA"/>
              </w:rPr>
            </w:pPr>
            <w:r w:rsidRPr="006872AF">
              <w:rPr>
                <w:rFonts w:asciiTheme="minorHAnsi" w:eastAsiaTheme="majorEastAsia" w:hAnsiTheme="minorHAnsi" w:cstheme="minorHAnsi"/>
                <w:bCs/>
                <w:lang w:eastAsia="en-US" w:bidi="ar-SA"/>
              </w:rPr>
              <w:t xml:space="preserve">Financial Conduct Authority </w:t>
            </w:r>
          </w:p>
        </w:tc>
      </w:tr>
    </w:tbl>
    <w:p w14:paraId="634EDC1F" w14:textId="77777777" w:rsidR="004F5FF1" w:rsidRPr="0040752D" w:rsidRDefault="004F5FF1" w:rsidP="00C92964">
      <w:pPr>
        <w:spacing w:after="160"/>
        <w:rPr>
          <w:rFonts w:ascii="Arial" w:hAnsi="Arial" w:cs="Arial"/>
        </w:rPr>
      </w:pPr>
    </w:p>
    <w:p w14:paraId="71F48C78" w14:textId="78953C16" w:rsidR="006D2E3B" w:rsidRPr="006872AF" w:rsidRDefault="004B5837" w:rsidP="00754D2D">
      <w:pPr>
        <w:pStyle w:val="ListParagraph"/>
        <w:numPr>
          <w:ilvl w:val="0"/>
          <w:numId w:val="8"/>
        </w:numPr>
        <w:jc w:val="both"/>
        <w:rPr>
          <w:rFonts w:eastAsiaTheme="majorEastAsia" w:cstheme="minorHAnsi"/>
          <w:b/>
          <w:bCs/>
          <w:sz w:val="24"/>
          <w:szCs w:val="24"/>
        </w:rPr>
      </w:pPr>
      <w:r w:rsidRPr="006872AF">
        <w:rPr>
          <w:rFonts w:eastAsiaTheme="majorEastAsia" w:cstheme="minorHAnsi"/>
          <w:b/>
          <w:bCs/>
          <w:sz w:val="24"/>
          <w:szCs w:val="24"/>
        </w:rPr>
        <w:t xml:space="preserve">Specific Information </w:t>
      </w:r>
    </w:p>
    <w:p w14:paraId="102F0671" w14:textId="0FAE20AF" w:rsidR="004B5837" w:rsidRDefault="004B5837" w:rsidP="004B5837">
      <w:pPr>
        <w:pStyle w:val="ListParagraph"/>
        <w:ind w:left="510"/>
        <w:jc w:val="both"/>
        <w:rPr>
          <w:rFonts w:ascii="Arial" w:eastAsiaTheme="majorEastAsia" w:hAnsi="Arial" w:cs="Arial"/>
          <w:b/>
          <w:bCs/>
        </w:rPr>
      </w:pPr>
    </w:p>
    <w:p w14:paraId="262885DC" w14:textId="50AF3307" w:rsidR="004B5837" w:rsidRDefault="004B5837" w:rsidP="004B5837">
      <w:pPr>
        <w:pStyle w:val="ListParagraph"/>
        <w:ind w:left="510"/>
        <w:jc w:val="both"/>
      </w:pPr>
      <w:r>
        <w:t>Investec Bank plc chooses to not apply the following provisions of Regulation (EU) 2016/1011 in respect of its non-significant benchmarks identified below.</w:t>
      </w:r>
    </w:p>
    <w:p w14:paraId="1F9D0740" w14:textId="77777777" w:rsidR="004B5837" w:rsidRPr="00754D2D" w:rsidRDefault="004B5837" w:rsidP="004B5837">
      <w:pPr>
        <w:pStyle w:val="ListParagraph"/>
        <w:ind w:left="510"/>
        <w:jc w:val="both"/>
        <w:rPr>
          <w:rFonts w:ascii="Arial" w:eastAsiaTheme="majorEastAsia" w:hAnsi="Arial" w:cs="Arial"/>
          <w:b/>
          <w:bCs/>
        </w:rPr>
      </w:pPr>
    </w:p>
    <w:tbl>
      <w:tblPr>
        <w:tblW w:w="8512"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0"/>
        <w:gridCol w:w="4252"/>
      </w:tblGrid>
      <w:tr w:rsidR="00C51791" w:rsidRPr="00C51791" w14:paraId="5685F06E" w14:textId="77777777" w:rsidTr="00DD1FDB">
        <w:trPr>
          <w:trHeight w:val="715"/>
        </w:trPr>
        <w:tc>
          <w:tcPr>
            <w:tcW w:w="4260" w:type="dxa"/>
          </w:tcPr>
          <w:p w14:paraId="45FB1ED5" w14:textId="033AB95D" w:rsidR="00C51791" w:rsidRPr="006872AF" w:rsidRDefault="002D4923" w:rsidP="00C51791">
            <w:pPr>
              <w:spacing w:after="160"/>
              <w:rPr>
                <w:rFonts w:ascii="Arial" w:hAnsi="Arial" w:cs="Arial"/>
                <w:b/>
                <w:bCs/>
              </w:rPr>
            </w:pPr>
            <w:r w:rsidRPr="006872AF">
              <w:t>1</w:t>
            </w:r>
            <w:r w:rsidR="00E74144" w:rsidRPr="006872AF">
              <w:t>.</w:t>
            </w:r>
            <w:r w:rsidR="00C51791" w:rsidRPr="006872AF">
              <w:t xml:space="preserve"> The benchmark or benchmarks in respect of which the provision(s) do not apply</w:t>
            </w:r>
            <w:r w:rsidR="006872AF" w:rsidRPr="006872AF">
              <w:t>.</w:t>
            </w:r>
          </w:p>
        </w:tc>
        <w:tc>
          <w:tcPr>
            <w:tcW w:w="4252" w:type="dxa"/>
          </w:tcPr>
          <w:p w14:paraId="4DDA9B55" w14:textId="4B82E1B9" w:rsidR="00C51791" w:rsidRPr="008A28CC" w:rsidRDefault="00E74144" w:rsidP="00C51791">
            <w:pPr>
              <w:spacing w:after="160"/>
              <w:rPr>
                <w:rFonts w:cstheme="minorHAnsi"/>
                <w:bCs/>
              </w:rPr>
            </w:pPr>
            <w:r w:rsidRPr="008A28CC">
              <w:rPr>
                <w:rFonts w:cstheme="minorHAnsi"/>
                <w:bCs/>
              </w:rPr>
              <w:t>The EVEN 30™ Index</w:t>
            </w:r>
            <w:r w:rsidR="00411577">
              <w:rPr>
                <w:rFonts w:cstheme="minorHAnsi"/>
                <w:bCs/>
              </w:rPr>
              <w:t xml:space="preserve"> - </w:t>
            </w:r>
            <w:r w:rsidR="003E12C7" w:rsidRPr="008A28CC">
              <w:rPr>
                <w:rFonts w:cstheme="minorHAnsi"/>
                <w:bCs/>
              </w:rPr>
              <w:t xml:space="preserve"> </w:t>
            </w:r>
            <w:r w:rsidR="00411577" w:rsidRPr="00411577">
              <w:rPr>
                <w:rFonts w:cstheme="minorHAnsi"/>
                <w:bCs/>
              </w:rPr>
              <w:t>DG1930000000</w:t>
            </w:r>
            <w:r w:rsidR="00411577">
              <w:rPr>
                <w:rFonts w:cstheme="minorHAnsi"/>
                <w:bCs/>
              </w:rPr>
              <w:t xml:space="preserve">, </w:t>
            </w:r>
            <w:r w:rsidR="003E12C7" w:rsidRPr="008A28CC">
              <w:rPr>
                <w:rFonts w:cstheme="minorHAnsi"/>
                <w:bCs/>
              </w:rPr>
              <w:t>The EURO 70 Low Volatility Index</w:t>
            </w:r>
            <w:r w:rsidR="00905592">
              <w:rPr>
                <w:rFonts w:cstheme="minorHAnsi"/>
                <w:bCs/>
              </w:rPr>
              <w:t xml:space="preserve">, </w:t>
            </w:r>
            <w:r w:rsidR="00905592" w:rsidRPr="00905592">
              <w:rPr>
                <w:rFonts w:cstheme="minorHAnsi"/>
                <w:bCs/>
              </w:rPr>
              <w:t>The IBP Lannebo Europa Smabolag A TR Index.</w:t>
            </w:r>
          </w:p>
        </w:tc>
      </w:tr>
      <w:tr w:rsidR="00C51791" w:rsidRPr="00C51791" w14:paraId="708B4530" w14:textId="77777777" w:rsidTr="00DD1FDB">
        <w:trPr>
          <w:trHeight w:val="1271"/>
        </w:trPr>
        <w:tc>
          <w:tcPr>
            <w:tcW w:w="4260" w:type="dxa"/>
          </w:tcPr>
          <w:p w14:paraId="6B65A305" w14:textId="1BD41289" w:rsidR="00C51791" w:rsidRPr="00C51791" w:rsidRDefault="004B646E" w:rsidP="004B646E">
            <w:pPr>
              <w:spacing w:after="160"/>
              <w:rPr>
                <w:rFonts w:ascii="Arial" w:hAnsi="Arial" w:cs="Arial"/>
                <w:b/>
                <w:bCs/>
                <w:sz w:val="24"/>
                <w:szCs w:val="24"/>
              </w:rPr>
            </w:pPr>
            <w:r>
              <w:t>2. (i) The provision or provisions of Regulation (EU) 2016/1011 that do not apply (ii) For each provision, the reasons why it is appropriate for the administrator not to comply with that provision</w:t>
            </w:r>
            <w:r w:rsidR="006872AF">
              <w:t>.</w:t>
            </w:r>
          </w:p>
        </w:tc>
        <w:tc>
          <w:tcPr>
            <w:tcW w:w="4252" w:type="dxa"/>
          </w:tcPr>
          <w:p w14:paraId="352BE8B5" w14:textId="4CC14456" w:rsidR="00C51791" w:rsidRPr="00C51791" w:rsidRDefault="00C51791" w:rsidP="004B646E">
            <w:pPr>
              <w:spacing w:after="160"/>
              <w:rPr>
                <w:rFonts w:ascii="Arial" w:hAnsi="Arial" w:cs="Arial"/>
                <w:bCs/>
                <w:i/>
                <w:sz w:val="24"/>
                <w:szCs w:val="24"/>
              </w:rPr>
            </w:pPr>
          </w:p>
        </w:tc>
      </w:tr>
      <w:tr w:rsidR="00C51791" w:rsidRPr="00C51791" w14:paraId="22C10D0C" w14:textId="77777777" w:rsidTr="00DD1FDB">
        <w:trPr>
          <w:trHeight w:val="523"/>
        </w:trPr>
        <w:tc>
          <w:tcPr>
            <w:tcW w:w="4260" w:type="dxa"/>
          </w:tcPr>
          <w:p w14:paraId="32E92133" w14:textId="671A8CD2" w:rsidR="000F5FDF" w:rsidRDefault="000F5FDF" w:rsidP="00C51791">
            <w:pPr>
              <w:spacing w:after="160"/>
              <w:rPr>
                <w:u w:val="single"/>
              </w:rPr>
            </w:pPr>
          </w:p>
          <w:p w14:paraId="00993D91" w14:textId="77777777" w:rsidR="000F5FDF" w:rsidRDefault="000F5FDF" w:rsidP="00C51791">
            <w:pPr>
              <w:spacing w:after="160"/>
              <w:rPr>
                <w:u w:val="single"/>
              </w:rPr>
            </w:pPr>
          </w:p>
          <w:p w14:paraId="28B34591" w14:textId="05B0C760" w:rsidR="00C51791" w:rsidRDefault="00B51B51" w:rsidP="00C51791">
            <w:pPr>
              <w:spacing w:after="160"/>
              <w:rPr>
                <w:u w:val="single"/>
              </w:rPr>
            </w:pPr>
            <w:r>
              <w:rPr>
                <w:u w:val="single"/>
              </w:rPr>
              <w:t xml:space="preserve">Article 4(2) </w:t>
            </w:r>
            <w:r w:rsidRPr="00B51B51">
              <w:rPr>
                <w:u w:val="single"/>
              </w:rPr>
              <w:t>of the BMR:</w:t>
            </w:r>
          </w:p>
          <w:p w14:paraId="5013421E" w14:textId="5DE5C55B" w:rsidR="00B51B51" w:rsidRDefault="000F5FDF" w:rsidP="00C51791">
            <w:pPr>
              <w:spacing w:after="160"/>
              <w:rPr>
                <w:u w:val="single"/>
              </w:rPr>
            </w:pPr>
            <w:r w:rsidRPr="00DA5F0E">
              <w:t>The provision of a benchmark shall be operationally separated from any part of an administrator's business that may create an actual or potential conflict of interest.</w:t>
            </w:r>
          </w:p>
          <w:p w14:paraId="68E6CE6F" w14:textId="77777777" w:rsidR="00B51B51" w:rsidRDefault="00B51B51" w:rsidP="00C51791">
            <w:pPr>
              <w:spacing w:after="160"/>
              <w:rPr>
                <w:u w:val="single"/>
              </w:rPr>
            </w:pPr>
          </w:p>
          <w:p w14:paraId="29EA2FAF" w14:textId="24A4FF67" w:rsidR="00B51B51" w:rsidRPr="00B51B51" w:rsidRDefault="00B51B51" w:rsidP="00C51791">
            <w:pPr>
              <w:spacing w:after="160"/>
              <w:rPr>
                <w:rFonts w:ascii="Arial" w:hAnsi="Arial" w:cs="Arial"/>
                <w:b/>
                <w:bCs/>
                <w:sz w:val="24"/>
                <w:szCs w:val="24"/>
                <w:u w:val="single"/>
              </w:rPr>
            </w:pPr>
          </w:p>
        </w:tc>
        <w:tc>
          <w:tcPr>
            <w:tcW w:w="4252" w:type="dxa"/>
          </w:tcPr>
          <w:p w14:paraId="7C26A6FC" w14:textId="476D02C1" w:rsidR="00173C91" w:rsidRPr="00547A22" w:rsidRDefault="000F5FDF" w:rsidP="004B646E">
            <w:pPr>
              <w:spacing w:after="160"/>
              <w:rPr>
                <w:rFonts w:cstheme="minorHAnsi"/>
                <w:bCs/>
              </w:rPr>
            </w:pPr>
            <w:r w:rsidRPr="006872AF">
              <w:rPr>
                <w:rFonts w:cstheme="minorHAnsi"/>
                <w:bCs/>
              </w:rPr>
              <w:t>The Administrator considers it appropriate not to operationally separate the provision of its benchmarks from any part of its</w:t>
            </w:r>
            <w:r w:rsidRPr="000F5FDF">
              <w:rPr>
                <w:rFonts w:ascii="Arial" w:hAnsi="Arial" w:cs="Arial"/>
                <w:bCs/>
                <w:sz w:val="24"/>
                <w:szCs w:val="24"/>
              </w:rPr>
              <w:t xml:space="preserve"> </w:t>
            </w:r>
            <w:r w:rsidRPr="00547A22">
              <w:rPr>
                <w:rFonts w:cstheme="minorHAnsi"/>
                <w:bCs/>
              </w:rPr>
              <w:t>business that may create an actual or potential</w:t>
            </w:r>
            <w:r w:rsidRPr="000F5FDF">
              <w:rPr>
                <w:rFonts w:ascii="Arial" w:hAnsi="Arial" w:cs="Arial"/>
                <w:bCs/>
                <w:sz w:val="24"/>
                <w:szCs w:val="24"/>
              </w:rPr>
              <w:t xml:space="preserve"> </w:t>
            </w:r>
            <w:r w:rsidRPr="00547A22">
              <w:rPr>
                <w:rFonts w:cstheme="minorHAnsi"/>
                <w:bCs/>
              </w:rPr>
              <w:t>conflict of interest on the basis that it has controls in place to mitigate any conflicts of interest that might arise as a result of the internal structure of the Administrator.</w:t>
            </w:r>
            <w:r w:rsidRPr="000F5FDF">
              <w:rPr>
                <w:rFonts w:ascii="Arial" w:hAnsi="Arial" w:cs="Arial"/>
                <w:bCs/>
                <w:sz w:val="24"/>
                <w:szCs w:val="24"/>
              </w:rPr>
              <w:t xml:space="preserve"> </w:t>
            </w:r>
            <w:r w:rsidR="00FD4849" w:rsidRPr="00547A22">
              <w:rPr>
                <w:rFonts w:cstheme="minorHAnsi"/>
                <w:bCs/>
              </w:rPr>
              <w:t xml:space="preserve">These controls include a </w:t>
            </w:r>
            <w:r w:rsidRPr="00547A22">
              <w:rPr>
                <w:rFonts w:cstheme="minorHAnsi"/>
                <w:bCs/>
              </w:rPr>
              <w:t>Conflicts of Interest Policy which requires the Administrator and employees to identify and manage actual, potential and p</w:t>
            </w:r>
            <w:r w:rsidR="00173C91" w:rsidRPr="00547A22">
              <w:rPr>
                <w:rFonts w:cstheme="minorHAnsi"/>
                <w:bCs/>
              </w:rPr>
              <w:t>erceived conflicts of interest.</w:t>
            </w:r>
          </w:p>
          <w:p w14:paraId="1834201F" w14:textId="1A603782" w:rsidR="00C51791" w:rsidRPr="00547A22" w:rsidRDefault="000F5FDF" w:rsidP="004056A2">
            <w:pPr>
              <w:spacing w:after="160"/>
              <w:rPr>
                <w:rFonts w:cstheme="minorHAnsi"/>
                <w:bCs/>
              </w:rPr>
            </w:pPr>
            <w:r w:rsidRPr="00547A22">
              <w:rPr>
                <w:rFonts w:cstheme="minorHAnsi"/>
                <w:bCs/>
              </w:rPr>
              <w:t>In addition, the benchmar</w:t>
            </w:r>
            <w:r w:rsidR="00BA0797" w:rsidRPr="00547A22">
              <w:rPr>
                <w:rFonts w:cstheme="minorHAnsi"/>
                <w:bCs/>
              </w:rPr>
              <w:t xml:space="preserve">ks are calculated using formulaic </w:t>
            </w:r>
            <w:r w:rsidRPr="00547A22">
              <w:rPr>
                <w:rFonts w:cstheme="minorHAnsi"/>
                <w:bCs/>
              </w:rPr>
              <w:t xml:space="preserve">rules based methodologies and any changes to the methodologies need to be approved </w:t>
            </w:r>
            <w:r w:rsidR="000154F8" w:rsidRPr="00547A22">
              <w:rPr>
                <w:rFonts w:cstheme="minorHAnsi"/>
                <w:bCs/>
              </w:rPr>
              <w:t xml:space="preserve">via </w:t>
            </w:r>
            <w:r w:rsidRPr="00547A22">
              <w:rPr>
                <w:rFonts w:cstheme="minorHAnsi"/>
                <w:bCs/>
              </w:rPr>
              <w:t xml:space="preserve">the Administrator’s </w:t>
            </w:r>
            <w:r w:rsidR="000154F8" w:rsidRPr="00547A22">
              <w:rPr>
                <w:rFonts w:cstheme="minorHAnsi"/>
                <w:bCs/>
              </w:rPr>
              <w:t>Index Benchmark Governance Committee</w:t>
            </w:r>
            <w:r w:rsidRPr="00547A22">
              <w:rPr>
                <w:rFonts w:cstheme="minorHAnsi"/>
                <w:bCs/>
              </w:rPr>
              <w:t xml:space="preserve">. In addition, the benchmarks rely primarily on </w:t>
            </w:r>
            <w:r w:rsidR="006C18B2" w:rsidRPr="00547A22">
              <w:rPr>
                <w:rFonts w:cstheme="minorHAnsi"/>
                <w:bCs/>
              </w:rPr>
              <w:t>using publicly available prices of large UK and European publicly listed stocks</w:t>
            </w:r>
            <w:r w:rsidR="00A11A73" w:rsidRPr="00547A22">
              <w:rPr>
                <w:rFonts w:cstheme="minorHAnsi"/>
                <w:bCs/>
              </w:rPr>
              <w:t>.</w:t>
            </w:r>
            <w:r w:rsidR="006C18B2" w:rsidRPr="00547A22">
              <w:rPr>
                <w:rFonts w:cstheme="minorHAnsi"/>
                <w:bCs/>
              </w:rPr>
              <w:t xml:space="preserve"> </w:t>
            </w:r>
            <w:r w:rsidRPr="00547A22">
              <w:rPr>
                <w:rFonts w:cstheme="minorHAnsi"/>
                <w:bCs/>
              </w:rPr>
              <w:t>Benchmark users are, as a result, largely able to check the accurate implementation of the rules and any discretion in the calculation of the benchmarks is l</w:t>
            </w:r>
            <w:r w:rsidR="00756EE2" w:rsidRPr="00547A22">
              <w:rPr>
                <w:rFonts w:cstheme="minorHAnsi"/>
                <w:bCs/>
              </w:rPr>
              <w:t>imited. Each benchmark is subject to a daily 3-way independent validation of index levels (one of which is performed by an independent calculation agent).</w:t>
            </w:r>
            <w:r w:rsidR="004056A2" w:rsidRPr="00547A22">
              <w:rPr>
                <w:rFonts w:cstheme="minorHAnsi"/>
                <w:bCs/>
              </w:rPr>
              <w:t xml:space="preserve"> This independent validation takes place by groups who are </w:t>
            </w:r>
            <w:r w:rsidRPr="00547A22">
              <w:rPr>
                <w:rFonts w:cstheme="minorHAnsi"/>
                <w:bCs/>
              </w:rPr>
              <w:t>independent from the businesses that created and trade the</w:t>
            </w:r>
            <w:r w:rsidR="004056A2" w:rsidRPr="00547A22">
              <w:rPr>
                <w:rFonts w:cstheme="minorHAnsi"/>
                <w:bCs/>
              </w:rPr>
              <w:t xml:space="preserve"> benchmark. All of the controls referred to are overseen by the Index Benchmark Governance Committee. </w:t>
            </w:r>
          </w:p>
        </w:tc>
      </w:tr>
      <w:tr w:rsidR="00D524CB" w:rsidRPr="00C51791" w14:paraId="5024465B" w14:textId="77777777" w:rsidTr="00DD1FDB">
        <w:trPr>
          <w:trHeight w:val="523"/>
        </w:trPr>
        <w:tc>
          <w:tcPr>
            <w:tcW w:w="4260" w:type="dxa"/>
          </w:tcPr>
          <w:p w14:paraId="22426B88" w14:textId="0AD5C8A7" w:rsidR="00D524CB" w:rsidRDefault="005E3ADC" w:rsidP="00D524CB">
            <w:pPr>
              <w:spacing w:after="160"/>
              <w:rPr>
                <w:u w:val="single"/>
              </w:rPr>
            </w:pPr>
            <w:r>
              <w:rPr>
                <w:u w:val="single"/>
              </w:rPr>
              <w:t>Article 4(8</w:t>
            </w:r>
            <w:r w:rsidR="00D524CB">
              <w:rPr>
                <w:u w:val="single"/>
              </w:rPr>
              <w:t xml:space="preserve">) </w:t>
            </w:r>
            <w:r w:rsidR="00D524CB" w:rsidRPr="00B51B51">
              <w:rPr>
                <w:u w:val="single"/>
              </w:rPr>
              <w:t>of the BMR:</w:t>
            </w:r>
          </w:p>
          <w:p w14:paraId="3253CEDA" w14:textId="4C8E0428" w:rsidR="00D524CB" w:rsidRPr="004731E0" w:rsidRDefault="004731E0" w:rsidP="004731E0">
            <w:pPr>
              <w:spacing w:after="160"/>
            </w:pPr>
            <w:r w:rsidRPr="004731E0">
              <w:t>An administrator shall establish specific internal control procedures to ensure the integrity and reliability of the employee or person determining the benchmark, including at least internal sign-off by management before the dissemination of the benchmark.</w:t>
            </w:r>
          </w:p>
        </w:tc>
        <w:tc>
          <w:tcPr>
            <w:tcW w:w="4252" w:type="dxa"/>
          </w:tcPr>
          <w:p w14:paraId="26FE54D3" w14:textId="77777777" w:rsidR="00D524CB" w:rsidRDefault="002B615A" w:rsidP="004B646E">
            <w:pPr>
              <w:spacing w:after="160"/>
            </w:pPr>
            <w:r>
              <w:t>The Administrator has control procedures in place to ensure the integrity and reliability of its benchmark calculations.</w:t>
            </w:r>
          </w:p>
          <w:p w14:paraId="543353D7" w14:textId="6EA1849A" w:rsidR="002B615A" w:rsidRDefault="002B615A" w:rsidP="004B646E">
            <w:pPr>
              <w:spacing w:after="160"/>
              <w:rPr>
                <w:rFonts w:ascii="Arial" w:hAnsi="Arial" w:cs="Arial"/>
                <w:bCs/>
                <w:sz w:val="24"/>
                <w:szCs w:val="24"/>
              </w:rPr>
            </w:pPr>
            <w:r>
              <w:t xml:space="preserve">The Administrator considers it appropriate not to require internal sign-off by management before the dissemination of a benchmark (i.e. before the publication of a benchmark level) on the basis that the Administrator’s benchmarks are calculated using formulaic </w:t>
            </w:r>
            <w:r>
              <w:lastRenderedPageBreak/>
              <w:t>rules-based methodologies.</w:t>
            </w:r>
            <w:r w:rsidR="0057008D">
              <w:t xml:space="preserve"> A</w:t>
            </w:r>
            <w:r w:rsidR="0057008D" w:rsidRPr="00547A22">
              <w:rPr>
                <w:rFonts w:cstheme="minorHAnsi"/>
                <w:bCs/>
              </w:rPr>
              <w:t>ny changes to the methodologies need to be approved via the Administrator’s Index Benchmark Governance Committee. In addition, the benchmarks rely primarily on using publicly available prices of large UK and European publicly listed stocks. Benchmark users are, as a result, largely able to check the accurate implementation of the rules and any discretion in the calculation of the benchmarks is limited. Each benchmark is subject to a daily 3-way independent validation of index levels (one of which is performed by an independent calculation agent). This independent validation takes place by groups who are independent from the businesses that created and trade the benchmark. All of the controls referred to are overseen by the Index Benchmark Governance Committee.</w:t>
            </w:r>
          </w:p>
        </w:tc>
      </w:tr>
    </w:tbl>
    <w:p w14:paraId="442F871D" w14:textId="227A796E" w:rsidR="00684EEB" w:rsidRDefault="00684EEB" w:rsidP="00C92964">
      <w:pPr>
        <w:spacing w:after="160"/>
        <w:rPr>
          <w:rFonts w:ascii="Arial" w:hAnsi="Arial" w:cs="Arial"/>
          <w:sz w:val="24"/>
          <w:szCs w:val="24"/>
        </w:rPr>
      </w:pPr>
    </w:p>
    <w:p w14:paraId="4F914807" w14:textId="77777777" w:rsidR="00684EEB" w:rsidRPr="00E4483F" w:rsidRDefault="00684EEB" w:rsidP="00C92964">
      <w:pPr>
        <w:spacing w:after="160"/>
        <w:rPr>
          <w:rFonts w:cstheme="minorHAnsi"/>
        </w:rPr>
      </w:pPr>
    </w:p>
    <w:tbl>
      <w:tblPr>
        <w:tblStyle w:val="TableGrid"/>
        <w:tblW w:w="0" w:type="auto"/>
        <w:tblLook w:val="04A0" w:firstRow="1" w:lastRow="0" w:firstColumn="1" w:lastColumn="0" w:noHBand="0" w:noVBand="1"/>
      </w:tblPr>
      <w:tblGrid>
        <w:gridCol w:w="9016"/>
      </w:tblGrid>
      <w:tr w:rsidR="00471E75" w14:paraId="43FBB26E" w14:textId="77777777" w:rsidTr="00471E75">
        <w:tc>
          <w:tcPr>
            <w:tcW w:w="9016" w:type="dxa"/>
          </w:tcPr>
          <w:p w14:paraId="0BD6A16E" w14:textId="22728AC6" w:rsidR="00471E75" w:rsidRPr="001250E1" w:rsidRDefault="00471E75" w:rsidP="00471E75">
            <w:pPr>
              <w:spacing w:after="160"/>
              <w:jc w:val="center"/>
              <w:rPr>
                <w:b/>
              </w:rPr>
            </w:pPr>
            <w:r w:rsidRPr="001250E1">
              <w:rPr>
                <w:b/>
              </w:rPr>
              <w:t>CLIMATE-RELATED DISCLOSURES</w:t>
            </w:r>
          </w:p>
        </w:tc>
      </w:tr>
      <w:tr w:rsidR="00471E75" w14:paraId="524EB810" w14:textId="77777777" w:rsidTr="00471E75">
        <w:tc>
          <w:tcPr>
            <w:tcW w:w="9016" w:type="dxa"/>
          </w:tcPr>
          <w:p w14:paraId="29F90C04" w14:textId="4DC28C67" w:rsidR="00471E75" w:rsidRPr="001250E1" w:rsidRDefault="00471E75" w:rsidP="00471E75">
            <w:pPr>
              <w:spacing w:after="160"/>
              <w:jc w:val="center"/>
              <w:rPr>
                <w:b/>
              </w:rPr>
            </w:pPr>
            <w:r w:rsidRPr="001250E1">
              <w:rPr>
                <w:b/>
              </w:rPr>
              <w:t>SECTION 1 – CONSIDERATION OF ENVIRONMENTAL, SOCIAL AND GOVERNANCE (“ESG”) FACTORS.</w:t>
            </w:r>
          </w:p>
        </w:tc>
      </w:tr>
    </w:tbl>
    <w:p w14:paraId="3351B2F0" w14:textId="77777777" w:rsidR="00471E75" w:rsidRDefault="00471E75" w:rsidP="00C92964">
      <w:pPr>
        <w:spacing w:after="160"/>
      </w:pPr>
    </w:p>
    <w:tbl>
      <w:tblPr>
        <w:tblStyle w:val="TableGrid"/>
        <w:tblW w:w="0" w:type="auto"/>
        <w:tblLook w:val="04A0" w:firstRow="1" w:lastRow="0" w:firstColumn="1" w:lastColumn="0" w:noHBand="0" w:noVBand="1"/>
      </w:tblPr>
      <w:tblGrid>
        <w:gridCol w:w="4508"/>
        <w:gridCol w:w="4508"/>
      </w:tblGrid>
      <w:tr w:rsidR="001250E1" w14:paraId="58C842D0" w14:textId="77777777" w:rsidTr="001250E1">
        <w:tc>
          <w:tcPr>
            <w:tcW w:w="4508" w:type="dxa"/>
          </w:tcPr>
          <w:p w14:paraId="0C1E68F4" w14:textId="4F37629E" w:rsidR="001250E1" w:rsidRDefault="001250E1" w:rsidP="00C92964">
            <w:pPr>
              <w:spacing w:after="160"/>
            </w:pPr>
            <w:r w:rsidRPr="001250E1">
              <w:rPr>
                <w:b/>
              </w:rPr>
              <w:t>Item 1.</w:t>
            </w:r>
            <w:r w:rsidRPr="001250E1">
              <w:t xml:space="preserve"> Name of the benchmark administrator.</w:t>
            </w:r>
          </w:p>
        </w:tc>
        <w:tc>
          <w:tcPr>
            <w:tcW w:w="4508" w:type="dxa"/>
          </w:tcPr>
          <w:p w14:paraId="05ACFF3C" w14:textId="7D420FD6" w:rsidR="001250E1" w:rsidRDefault="001250E1" w:rsidP="00C92964">
            <w:pPr>
              <w:spacing w:after="160"/>
            </w:pPr>
            <w:r>
              <w:t xml:space="preserve">  Investec Bank PLC</w:t>
            </w:r>
          </w:p>
        </w:tc>
      </w:tr>
      <w:tr w:rsidR="001250E1" w14:paraId="512A91B9" w14:textId="77777777" w:rsidTr="001250E1">
        <w:tc>
          <w:tcPr>
            <w:tcW w:w="4508" w:type="dxa"/>
          </w:tcPr>
          <w:p w14:paraId="15B8113D" w14:textId="5719EEE5" w:rsidR="001250E1" w:rsidRDefault="001250E1" w:rsidP="00C92964">
            <w:pPr>
              <w:spacing w:after="160"/>
            </w:pPr>
            <w:r w:rsidRPr="001250E1">
              <w:rPr>
                <w:b/>
              </w:rPr>
              <w:t>Item 2.</w:t>
            </w:r>
            <w:r w:rsidRPr="001250E1">
              <w:t xml:space="preserve"> Type of benchmark.</w:t>
            </w:r>
          </w:p>
        </w:tc>
        <w:tc>
          <w:tcPr>
            <w:tcW w:w="4508" w:type="dxa"/>
          </w:tcPr>
          <w:p w14:paraId="517A054F" w14:textId="6020D453" w:rsidR="001250E1" w:rsidRDefault="001250E1" w:rsidP="00C92964">
            <w:pPr>
              <w:spacing w:after="160"/>
            </w:pPr>
            <w:r>
              <w:t xml:space="preserve">  Equity Benchmarks</w:t>
            </w:r>
          </w:p>
        </w:tc>
      </w:tr>
      <w:tr w:rsidR="001250E1" w14:paraId="26573F18" w14:textId="77777777" w:rsidTr="001250E1">
        <w:tc>
          <w:tcPr>
            <w:tcW w:w="4508" w:type="dxa"/>
          </w:tcPr>
          <w:p w14:paraId="692540DE" w14:textId="241DBEC2" w:rsidR="001250E1" w:rsidRDefault="00F66F98" w:rsidP="00C92964">
            <w:pPr>
              <w:spacing w:after="160"/>
            </w:pPr>
            <w:r w:rsidRPr="00F66F98">
              <w:rPr>
                <w:b/>
              </w:rPr>
              <w:t>Item 3.</w:t>
            </w:r>
            <w:r>
              <w:t xml:space="preserve"> Name of the benchmarks</w:t>
            </w:r>
          </w:p>
        </w:tc>
        <w:tc>
          <w:tcPr>
            <w:tcW w:w="4508" w:type="dxa"/>
          </w:tcPr>
          <w:p w14:paraId="55367C9C" w14:textId="53B3EC32" w:rsidR="001250E1" w:rsidRPr="00F66F98" w:rsidRDefault="00F66F98" w:rsidP="00C92964">
            <w:pPr>
              <w:spacing w:after="160"/>
              <w:rPr>
                <w:bCs/>
              </w:rPr>
            </w:pPr>
            <w:r w:rsidRPr="00F66F98">
              <w:t xml:space="preserve">The </w:t>
            </w:r>
            <w:r w:rsidR="00905592">
              <w:rPr>
                <w:bCs/>
              </w:rPr>
              <w:t xml:space="preserve">EVEN 30™ Index, </w:t>
            </w:r>
            <w:r w:rsidRPr="00F66F98">
              <w:rPr>
                <w:bCs/>
              </w:rPr>
              <w:t xml:space="preserve">The EURO 70 </w:t>
            </w:r>
            <w:r>
              <w:rPr>
                <w:bCs/>
              </w:rPr>
              <w:t>Low V</w:t>
            </w:r>
            <w:r w:rsidRPr="00F66F98">
              <w:rPr>
                <w:bCs/>
              </w:rPr>
              <w:t>olatility Index</w:t>
            </w:r>
            <w:r w:rsidR="00905592">
              <w:rPr>
                <w:bCs/>
              </w:rPr>
              <w:t xml:space="preserve">, </w:t>
            </w:r>
            <w:r w:rsidR="00905592" w:rsidRPr="00905592">
              <w:rPr>
                <w:bCs/>
              </w:rPr>
              <w:t>The IBP Lannebo Europa Smabolag A TR Index.</w:t>
            </w:r>
          </w:p>
        </w:tc>
      </w:tr>
      <w:tr w:rsidR="001250E1" w14:paraId="406DF03C" w14:textId="77777777" w:rsidTr="001250E1">
        <w:tc>
          <w:tcPr>
            <w:tcW w:w="4508" w:type="dxa"/>
          </w:tcPr>
          <w:p w14:paraId="7C1C4E10" w14:textId="3024E66F" w:rsidR="001250E1" w:rsidRDefault="00E85377" w:rsidP="00C92964">
            <w:pPr>
              <w:spacing w:after="160"/>
            </w:pPr>
            <w:r w:rsidRPr="00E85377">
              <w:rPr>
                <w:b/>
              </w:rPr>
              <w:t>Item 4.</w:t>
            </w:r>
            <w:r w:rsidRPr="00E85377">
              <w:t xml:space="preserve"> Does the benchmark pursue ESG objectives?</w:t>
            </w:r>
          </w:p>
        </w:tc>
        <w:tc>
          <w:tcPr>
            <w:tcW w:w="4508" w:type="dxa"/>
          </w:tcPr>
          <w:p w14:paraId="64EBAD8D" w14:textId="26780D84" w:rsidR="001250E1" w:rsidRDefault="00E85377" w:rsidP="00C92964">
            <w:pPr>
              <w:spacing w:after="160"/>
            </w:pPr>
            <w:r>
              <w:t xml:space="preserve">  </w:t>
            </w:r>
            <w:r w:rsidRPr="00E85377">
              <w:t xml:space="preserve">□ Yes </w:t>
            </w:r>
            <w:r w:rsidRPr="00E85377">
              <w:rPr>
                <w:b/>
              </w:rPr>
              <w:t xml:space="preserve">□ </w:t>
            </w:r>
            <w:r w:rsidRPr="009609E7">
              <w:rPr>
                <w:b/>
                <w:u w:val="single"/>
              </w:rPr>
              <w:t>No</w:t>
            </w:r>
          </w:p>
        </w:tc>
      </w:tr>
      <w:tr w:rsidR="001250E1" w14:paraId="4744AC27" w14:textId="77777777" w:rsidTr="001250E1">
        <w:tc>
          <w:tcPr>
            <w:tcW w:w="4508" w:type="dxa"/>
          </w:tcPr>
          <w:p w14:paraId="54A60ADB" w14:textId="6CDF3CAC" w:rsidR="001250E1" w:rsidRDefault="00E85377" w:rsidP="00C92964">
            <w:pPr>
              <w:spacing w:after="160"/>
            </w:pPr>
            <w:r w:rsidRPr="00E85377">
              <w:rPr>
                <w:b/>
              </w:rPr>
              <w:t>Item 5.</w:t>
            </w:r>
            <w:r w:rsidRPr="00E85377">
              <w:t xml:space="preserve"> Where the response to Item 4 is negative, is any EU Climate Transition Benchmark or EU Paris-aligned Benchmark available in the portfolio of the benchmark administrator or does the benchmark administrator have benchmarks that pursue </w:t>
            </w:r>
            <w:r w:rsidRPr="00E85377">
              <w:lastRenderedPageBreak/>
              <w:t>ESG objectives or take into account ESG factors?</w:t>
            </w:r>
          </w:p>
        </w:tc>
        <w:tc>
          <w:tcPr>
            <w:tcW w:w="4508" w:type="dxa"/>
          </w:tcPr>
          <w:p w14:paraId="00FB6454" w14:textId="7EBFB69F" w:rsidR="001250E1" w:rsidRDefault="00E85377" w:rsidP="00C92964">
            <w:pPr>
              <w:spacing w:after="160"/>
            </w:pPr>
            <w:r>
              <w:lastRenderedPageBreak/>
              <w:t xml:space="preserve">  </w:t>
            </w:r>
            <w:r w:rsidRPr="00E85377">
              <w:t xml:space="preserve">□ Yes </w:t>
            </w:r>
            <w:r w:rsidRPr="00E85377">
              <w:rPr>
                <w:b/>
              </w:rPr>
              <w:t xml:space="preserve">□ </w:t>
            </w:r>
            <w:r w:rsidRPr="009609E7">
              <w:rPr>
                <w:b/>
                <w:u w:val="single"/>
              </w:rPr>
              <w:t>No</w:t>
            </w:r>
          </w:p>
        </w:tc>
      </w:tr>
    </w:tbl>
    <w:p w14:paraId="1B8174CA" w14:textId="77777777" w:rsidR="00471E75" w:rsidRDefault="00471E75" w:rsidP="00C92964">
      <w:pPr>
        <w:spacing w:after="160"/>
      </w:pPr>
    </w:p>
    <w:p w14:paraId="0E7547FF" w14:textId="77777777" w:rsidR="00471E75" w:rsidRDefault="00471E75" w:rsidP="00C92964">
      <w:pPr>
        <w:spacing w:after="160"/>
      </w:pPr>
    </w:p>
    <w:p w14:paraId="6C0A31B9" w14:textId="268704B6" w:rsidR="00AA444B" w:rsidRDefault="00AA444B" w:rsidP="00C92964">
      <w:pPr>
        <w:spacing w:after="160"/>
      </w:pPr>
    </w:p>
    <w:p w14:paraId="24CC81AD" w14:textId="77777777" w:rsidR="00AA444B" w:rsidRDefault="00AA444B" w:rsidP="00C92964">
      <w:pPr>
        <w:spacing w:after="160"/>
        <w:rPr>
          <w:rFonts w:ascii="Arial" w:hAnsi="Arial" w:cs="Arial"/>
          <w:b/>
          <w:sz w:val="24"/>
          <w:szCs w:val="24"/>
          <w:u w:val="single"/>
        </w:rPr>
      </w:pPr>
    </w:p>
    <w:p w14:paraId="43FD270F" w14:textId="5552A4A4" w:rsidR="00D143C4" w:rsidRDefault="00D143C4" w:rsidP="00C92964">
      <w:pPr>
        <w:spacing w:after="160"/>
        <w:rPr>
          <w:rFonts w:ascii="Arial" w:hAnsi="Arial" w:cs="Arial"/>
          <w:b/>
          <w:sz w:val="24"/>
          <w:szCs w:val="24"/>
          <w:u w:val="single"/>
        </w:rPr>
      </w:pPr>
    </w:p>
    <w:p w14:paraId="5E83107A" w14:textId="651BFD8C" w:rsidR="007958EA" w:rsidRDefault="007958EA" w:rsidP="00C92964">
      <w:pPr>
        <w:spacing w:after="160"/>
        <w:rPr>
          <w:rFonts w:ascii="Arial" w:hAnsi="Arial" w:cs="Arial"/>
          <w:b/>
          <w:sz w:val="24"/>
          <w:szCs w:val="24"/>
          <w:u w:val="single"/>
        </w:rPr>
      </w:pPr>
    </w:p>
    <w:p w14:paraId="7DDACCE8" w14:textId="4DF3D372" w:rsidR="007958EA" w:rsidRDefault="007958EA" w:rsidP="00C92964">
      <w:pPr>
        <w:spacing w:after="160"/>
        <w:rPr>
          <w:rFonts w:ascii="Arial" w:hAnsi="Arial" w:cs="Arial"/>
          <w:b/>
          <w:sz w:val="24"/>
          <w:szCs w:val="24"/>
          <w:u w:val="single"/>
        </w:rPr>
      </w:pPr>
    </w:p>
    <w:p w14:paraId="1E039D4C" w14:textId="0BB64122" w:rsidR="007958EA" w:rsidRDefault="007958EA" w:rsidP="00C92964">
      <w:pPr>
        <w:spacing w:after="160"/>
        <w:rPr>
          <w:rFonts w:ascii="Arial" w:hAnsi="Arial" w:cs="Arial"/>
          <w:b/>
          <w:sz w:val="24"/>
          <w:szCs w:val="24"/>
          <w:u w:val="single"/>
        </w:rPr>
      </w:pPr>
    </w:p>
    <w:p w14:paraId="69ED64A1" w14:textId="77777777" w:rsidR="007958EA" w:rsidRDefault="007958EA" w:rsidP="00C92964">
      <w:pPr>
        <w:spacing w:after="160"/>
        <w:rPr>
          <w:rFonts w:ascii="Arial" w:hAnsi="Arial" w:cs="Arial"/>
          <w:b/>
          <w:sz w:val="24"/>
          <w:szCs w:val="24"/>
          <w:u w:val="single"/>
        </w:rPr>
      </w:pPr>
    </w:p>
    <w:p w14:paraId="0CA7EA44" w14:textId="6115FF23" w:rsidR="00D143C4" w:rsidRDefault="00D143C4" w:rsidP="00C92964">
      <w:pPr>
        <w:spacing w:after="160"/>
        <w:rPr>
          <w:rFonts w:ascii="Arial" w:hAnsi="Arial" w:cs="Arial"/>
          <w:b/>
          <w:sz w:val="24"/>
          <w:szCs w:val="24"/>
          <w:u w:val="single"/>
        </w:rPr>
      </w:pPr>
    </w:p>
    <w:p w14:paraId="23E9C55F" w14:textId="7A4B9445" w:rsidR="00DB46A1" w:rsidRDefault="00DB46A1" w:rsidP="00C92964">
      <w:pPr>
        <w:spacing w:after="160"/>
        <w:rPr>
          <w:rFonts w:ascii="Arial" w:hAnsi="Arial" w:cs="Arial"/>
          <w:b/>
          <w:sz w:val="24"/>
          <w:szCs w:val="24"/>
          <w:u w:val="single"/>
        </w:rPr>
      </w:pPr>
    </w:p>
    <w:sdt>
      <w:sdtPr>
        <w:id w:val="-1260137949"/>
        <w:docPartObj>
          <w:docPartGallery w:val="Table of Contents"/>
          <w:docPartUnique/>
        </w:docPartObj>
      </w:sdtPr>
      <w:sdtEndPr/>
      <w:sdtContent>
        <w:p w14:paraId="344BAB91" w14:textId="523CFA9D" w:rsidR="005E4A53" w:rsidRDefault="005E4A53" w:rsidP="005E4A53">
          <w:pPr>
            <w:pStyle w:val="TOC1"/>
            <w:tabs>
              <w:tab w:val="right" w:leader="dot" w:pos="9139"/>
            </w:tabs>
            <w:spacing w:before="93"/>
          </w:pPr>
        </w:p>
        <w:p w14:paraId="7A1ECB24" w14:textId="44A8952A" w:rsidR="006D2E3B" w:rsidRDefault="00905592" w:rsidP="006D2E3B">
          <w:pPr>
            <w:pStyle w:val="TOC1"/>
            <w:tabs>
              <w:tab w:val="right" w:leader="dot" w:pos="9136"/>
            </w:tabs>
          </w:pPr>
        </w:p>
      </w:sdtContent>
    </w:sdt>
    <w:p w14:paraId="0A642C74" w14:textId="77777777" w:rsidR="008C4E1E" w:rsidRPr="008C4E1E" w:rsidRDefault="008C4E1E" w:rsidP="008C4E1E">
      <w:pPr>
        <w:pStyle w:val="aw"/>
        <w:spacing w:before="0" w:beforeAutospacing="0" w:after="0" w:afterAutospacing="0"/>
        <w:jc w:val="both"/>
        <w:rPr>
          <w:rStyle w:val="ar"/>
          <w:rFonts w:ascii="Arial" w:hAnsi="Arial" w:cs="Arial"/>
          <w:color w:val="787878"/>
          <w:sz w:val="22"/>
          <w:szCs w:val="22"/>
        </w:rPr>
      </w:pPr>
    </w:p>
    <w:p w14:paraId="5AF1477C" w14:textId="676B63B8" w:rsidR="006D2E3B" w:rsidRDefault="006D2E3B" w:rsidP="008C4E1E">
      <w:pPr>
        <w:rPr>
          <w:rFonts w:ascii="Arial" w:hAnsi="Arial" w:cs="Arial"/>
        </w:rPr>
      </w:pPr>
    </w:p>
    <w:p w14:paraId="1DDD713F" w14:textId="534E4AD6" w:rsidR="006D2E3B" w:rsidRDefault="006D2E3B" w:rsidP="008C4E1E">
      <w:pPr>
        <w:rPr>
          <w:rFonts w:ascii="Arial" w:hAnsi="Arial" w:cs="Arial"/>
        </w:rPr>
      </w:pPr>
    </w:p>
    <w:p w14:paraId="7D99E27C" w14:textId="13929AB9" w:rsidR="006D2E3B" w:rsidRDefault="006D2E3B" w:rsidP="008C4E1E">
      <w:pPr>
        <w:rPr>
          <w:rFonts w:ascii="Arial" w:hAnsi="Arial" w:cs="Arial"/>
        </w:rPr>
      </w:pPr>
    </w:p>
    <w:p w14:paraId="7A465F6E" w14:textId="78C7EFF3" w:rsidR="006D2E3B" w:rsidRDefault="006D2E3B" w:rsidP="008C4E1E">
      <w:pPr>
        <w:rPr>
          <w:rFonts w:ascii="Arial" w:hAnsi="Arial" w:cs="Arial"/>
        </w:rPr>
      </w:pPr>
    </w:p>
    <w:p w14:paraId="294D3A2F" w14:textId="6395F56F" w:rsidR="006D2E3B" w:rsidRDefault="006D2E3B" w:rsidP="008C4E1E">
      <w:pPr>
        <w:rPr>
          <w:rFonts w:ascii="Arial" w:hAnsi="Arial" w:cs="Arial"/>
        </w:rPr>
      </w:pPr>
    </w:p>
    <w:p w14:paraId="0AF57F91" w14:textId="19B5BB28" w:rsidR="005E4A53" w:rsidRDefault="005E4A53" w:rsidP="008C4E1E">
      <w:pPr>
        <w:rPr>
          <w:rFonts w:ascii="Arial" w:hAnsi="Arial" w:cs="Arial"/>
        </w:rPr>
      </w:pPr>
    </w:p>
    <w:p w14:paraId="476AD5EF" w14:textId="77777777" w:rsidR="008476CA" w:rsidRDefault="008476CA" w:rsidP="008A28CC">
      <w:pPr>
        <w:jc w:val="center"/>
        <w:rPr>
          <w:rFonts w:cstheme="minorHAnsi"/>
        </w:rPr>
      </w:pPr>
    </w:p>
    <w:p w14:paraId="64B602CB" w14:textId="77777777" w:rsidR="008476CA" w:rsidRDefault="008476CA" w:rsidP="008A28CC">
      <w:pPr>
        <w:jc w:val="center"/>
        <w:rPr>
          <w:rFonts w:cstheme="minorHAnsi"/>
        </w:rPr>
      </w:pPr>
    </w:p>
    <w:p w14:paraId="491709F8" w14:textId="77777777" w:rsidR="008476CA" w:rsidRDefault="008476CA" w:rsidP="008A28CC">
      <w:pPr>
        <w:jc w:val="center"/>
        <w:rPr>
          <w:rFonts w:cstheme="minorHAnsi"/>
        </w:rPr>
      </w:pPr>
    </w:p>
    <w:p w14:paraId="2CE9B717" w14:textId="77777777" w:rsidR="008476CA" w:rsidRDefault="008476CA" w:rsidP="008A28CC">
      <w:pPr>
        <w:jc w:val="center"/>
        <w:rPr>
          <w:rFonts w:cstheme="minorHAnsi"/>
        </w:rPr>
      </w:pPr>
    </w:p>
    <w:p w14:paraId="333A2578" w14:textId="77777777" w:rsidR="008476CA" w:rsidRDefault="008476CA" w:rsidP="008A28CC">
      <w:pPr>
        <w:jc w:val="center"/>
        <w:rPr>
          <w:rFonts w:cstheme="minorHAnsi"/>
        </w:rPr>
      </w:pPr>
    </w:p>
    <w:p w14:paraId="4AB4CE53" w14:textId="77777777" w:rsidR="008476CA" w:rsidRDefault="008476CA" w:rsidP="008A28CC">
      <w:pPr>
        <w:jc w:val="center"/>
        <w:rPr>
          <w:rFonts w:cstheme="minorHAnsi"/>
        </w:rPr>
      </w:pPr>
      <w:bookmarkStart w:id="1" w:name="_GoBack"/>
      <w:bookmarkEnd w:id="1"/>
    </w:p>
    <w:p w14:paraId="3B9072BE" w14:textId="3C74D220" w:rsidR="00F82F8B" w:rsidRPr="00983EC9" w:rsidRDefault="008A28CC" w:rsidP="00905592">
      <w:pPr>
        <w:jc w:val="center"/>
        <w:rPr>
          <w:rFonts w:cstheme="minorHAnsi"/>
        </w:rPr>
      </w:pPr>
      <w:r w:rsidRPr="00983EC9">
        <w:rPr>
          <w:rFonts w:cstheme="minorHAnsi"/>
        </w:rPr>
        <w:t>Investec Bank plc is authorised by the Prudential Regulation Authority and regulated by the Financial Conduct Authority and the Prudential Regulation Authority.</w:t>
      </w:r>
    </w:p>
    <w:sectPr w:rsidR="00F82F8B" w:rsidRPr="00983EC9" w:rsidSect="007958E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D8C9E2" w14:textId="77777777" w:rsidR="00BB74C5" w:rsidRDefault="00BB74C5" w:rsidP="00620C71">
      <w:pPr>
        <w:spacing w:after="0" w:line="240" w:lineRule="auto"/>
      </w:pPr>
      <w:r>
        <w:separator/>
      </w:r>
    </w:p>
  </w:endnote>
  <w:endnote w:type="continuationSeparator" w:id="0">
    <w:p w14:paraId="3533BAA6" w14:textId="77777777" w:rsidR="00BB74C5" w:rsidRDefault="00BB74C5" w:rsidP="00620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Pro Light">
    <w:altName w:val="MS Gothic"/>
    <w:panose1 w:val="00000000000000000000"/>
    <w:charset w:val="00"/>
    <w:family w:val="swiss"/>
    <w:notTrueType/>
    <w:pitch w:val="variable"/>
    <w:sig w:usb0="00000001"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4972247"/>
      <w:docPartObj>
        <w:docPartGallery w:val="Page Numbers (Bottom of Page)"/>
        <w:docPartUnique/>
      </w:docPartObj>
    </w:sdtPr>
    <w:sdtEndPr>
      <w:rPr>
        <w:rStyle w:val="PageNumber"/>
      </w:rPr>
    </w:sdtEndPr>
    <w:sdtContent>
      <w:p w14:paraId="4B0B161A" w14:textId="715F8C5A" w:rsidR="007958EA" w:rsidRDefault="007958EA" w:rsidP="00CF59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9AA079" w14:textId="77777777" w:rsidR="007958EA" w:rsidRDefault="00795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0D7E1" w14:textId="77777777" w:rsidR="007958EA" w:rsidRDefault="007958EA" w:rsidP="00CF59E9">
    <w:pPr>
      <w:pStyle w:val="Footer"/>
      <w:framePr w:wrap="none" w:vAnchor="text" w:hAnchor="margin" w:xAlign="center" w:y="1"/>
      <w:rPr>
        <w:rStyle w:val="PageNumber"/>
      </w:rPr>
    </w:pPr>
  </w:p>
  <w:sdt>
    <w:sdtPr>
      <w:rPr>
        <w:rStyle w:val="PageNumber"/>
      </w:rPr>
      <w:id w:val="1245611621"/>
      <w:docPartObj>
        <w:docPartGallery w:val="Page Numbers (Bottom of Page)"/>
        <w:docPartUnique/>
      </w:docPartObj>
    </w:sdtPr>
    <w:sdtEndPr>
      <w:rPr>
        <w:rStyle w:val="PageNumber"/>
      </w:rPr>
    </w:sdtEndPr>
    <w:sdtContent>
      <w:p w14:paraId="315AA40D" w14:textId="489F1BD9" w:rsidR="007958EA" w:rsidRDefault="007958EA" w:rsidP="007958EA">
        <w:pPr>
          <w:pStyle w:val="Footer"/>
          <w:framePr w:wrap="none" w:vAnchor="text" w:hAnchor="margin" w:xAlign="center" w:y="1"/>
          <w:jc w:val="center"/>
          <w:rPr>
            <w:rStyle w:val="PageNumber"/>
          </w:rPr>
        </w:pPr>
        <w:r w:rsidRPr="007958EA">
          <w:rPr>
            <w:rStyle w:val="PageNumber"/>
            <w:rFonts w:ascii="Arial" w:hAnsi="Arial" w:cs="Arial"/>
          </w:rPr>
          <w:fldChar w:fldCharType="begin"/>
        </w:r>
        <w:r w:rsidRPr="007958EA">
          <w:rPr>
            <w:rStyle w:val="PageNumber"/>
            <w:rFonts w:ascii="Arial" w:hAnsi="Arial" w:cs="Arial"/>
          </w:rPr>
          <w:instrText xml:space="preserve"> PAGE </w:instrText>
        </w:r>
        <w:r w:rsidRPr="007958EA">
          <w:rPr>
            <w:rStyle w:val="PageNumber"/>
            <w:rFonts w:ascii="Arial" w:hAnsi="Arial" w:cs="Arial"/>
          </w:rPr>
          <w:fldChar w:fldCharType="separate"/>
        </w:r>
        <w:r w:rsidR="00905592">
          <w:rPr>
            <w:rStyle w:val="PageNumber"/>
            <w:rFonts w:ascii="Arial" w:hAnsi="Arial" w:cs="Arial"/>
            <w:noProof/>
          </w:rPr>
          <w:t>5</w:t>
        </w:r>
        <w:r w:rsidRPr="007958EA">
          <w:rPr>
            <w:rStyle w:val="PageNumber"/>
            <w:rFonts w:ascii="Arial" w:hAnsi="Arial" w:cs="Arial"/>
          </w:rPr>
          <w:fldChar w:fldCharType="end"/>
        </w:r>
      </w:p>
    </w:sdtContent>
  </w:sdt>
  <w:p w14:paraId="6AF488FF" w14:textId="77777777" w:rsidR="007958EA" w:rsidRDefault="007958EA" w:rsidP="00CF59E9">
    <w:pPr>
      <w:pStyle w:val="Footer"/>
      <w:framePr w:wrap="none" w:vAnchor="text" w:hAnchor="margin" w:xAlign="center" w:y="1"/>
      <w:rPr>
        <w:rStyle w:val="PageNumber"/>
      </w:rPr>
    </w:pPr>
  </w:p>
  <w:p w14:paraId="35108D72" w14:textId="77777777" w:rsidR="007958EA" w:rsidRDefault="007958EA" w:rsidP="007958EA">
    <w:pPr>
      <w:jc w:val="cente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37" w:type="dxa"/>
        <w:right w:w="284" w:type="dxa"/>
      </w:tblCellMar>
      <w:tblLook w:val="04A0" w:firstRow="1" w:lastRow="0" w:firstColumn="1" w:lastColumn="0" w:noHBand="0" w:noVBand="1"/>
    </w:tblPr>
    <w:tblGrid>
      <w:gridCol w:w="5398"/>
      <w:gridCol w:w="6509"/>
    </w:tblGrid>
    <w:tr w:rsidR="007958EA" w14:paraId="184890F4" w14:textId="77777777" w:rsidTr="007958EA">
      <w:trPr>
        <w:jc w:val="center"/>
      </w:trPr>
      <w:tc>
        <w:tcPr>
          <w:tcW w:w="5398" w:type="dxa"/>
          <w:vAlign w:val="center"/>
        </w:tcPr>
        <w:p w14:paraId="7D863A86" w14:textId="77777777" w:rsidR="007958EA" w:rsidRDefault="007958EA" w:rsidP="007958EA">
          <w:pPr>
            <w:pStyle w:val="Footer"/>
          </w:pPr>
          <w:r w:rsidRPr="004F5FF1">
            <w:rPr>
              <w:rFonts w:ascii="Arial" w:hAnsi="Arial" w:cs="Arial"/>
              <w:noProof/>
              <w:sz w:val="24"/>
              <w:szCs w:val="24"/>
              <w:lang w:eastAsia="en-GB"/>
            </w:rPr>
            <w:drawing>
              <wp:inline distT="0" distB="0" distL="0" distR="0" wp14:anchorId="62088598" wp14:editId="6C1D81DE">
                <wp:extent cx="2006600" cy="40437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estec-logo_RGB.eps"/>
                        <pic:cNvPicPr/>
                      </pic:nvPicPr>
                      <pic:blipFill>
                        <a:blip r:embed="rId1">
                          <a:extLst>
                            <a:ext uri="{28A0092B-C50C-407E-A947-70E740481C1C}">
                              <a14:useLocalDpi xmlns:a14="http://schemas.microsoft.com/office/drawing/2010/main" val="0"/>
                            </a:ext>
                          </a:extLst>
                        </a:blip>
                        <a:stretch>
                          <a:fillRect/>
                        </a:stretch>
                      </pic:blipFill>
                      <pic:spPr>
                        <a:xfrm>
                          <a:off x="0" y="0"/>
                          <a:ext cx="2327504" cy="469041"/>
                        </a:xfrm>
                        <a:prstGeom prst="rect">
                          <a:avLst/>
                        </a:prstGeom>
                      </pic:spPr>
                    </pic:pic>
                  </a:graphicData>
                </a:graphic>
              </wp:inline>
            </w:drawing>
          </w:r>
        </w:p>
        <w:p w14:paraId="21802FBA" w14:textId="77777777" w:rsidR="007958EA" w:rsidRDefault="007958EA" w:rsidP="007958EA">
          <w:pPr>
            <w:pStyle w:val="Footer"/>
          </w:pPr>
        </w:p>
        <w:p w14:paraId="013D9D4B" w14:textId="77777777" w:rsidR="007958EA" w:rsidRDefault="007958EA" w:rsidP="007958EA">
          <w:pPr>
            <w:pStyle w:val="Footer"/>
          </w:pPr>
        </w:p>
      </w:tc>
      <w:tc>
        <w:tcPr>
          <w:tcW w:w="6509" w:type="dxa"/>
          <w:vAlign w:val="bottom"/>
        </w:tcPr>
        <w:p w14:paraId="33C7EFD5" w14:textId="394CA98F" w:rsidR="007958EA" w:rsidRDefault="007958EA" w:rsidP="007958EA">
          <w:pPr>
            <w:pStyle w:val="Footer"/>
            <w:jc w:val="center"/>
          </w:pPr>
        </w:p>
      </w:tc>
    </w:tr>
  </w:tbl>
  <w:p w14:paraId="6F17F578" w14:textId="77777777" w:rsidR="007958EA" w:rsidRPr="007958EA" w:rsidRDefault="007958EA" w:rsidP="007958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text" w:horzAnchor="page" w:tblpXSpec="center" w:tblpY="1"/>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37" w:type="dxa"/>
        <w:right w:w="284" w:type="dxa"/>
      </w:tblCellMar>
      <w:tblLook w:val="04A0" w:firstRow="1" w:lastRow="0" w:firstColumn="1" w:lastColumn="0" w:noHBand="0" w:noVBand="1"/>
    </w:tblPr>
    <w:tblGrid>
      <w:gridCol w:w="5398"/>
      <w:gridCol w:w="6509"/>
    </w:tblGrid>
    <w:tr w:rsidR="007958EA" w14:paraId="6A25E5F2" w14:textId="77777777" w:rsidTr="007958EA">
      <w:trPr>
        <w:trHeight w:val="5023"/>
      </w:trPr>
      <w:tc>
        <w:tcPr>
          <w:tcW w:w="5398" w:type="dxa"/>
          <w:vAlign w:val="bottom"/>
        </w:tcPr>
        <w:p w14:paraId="6AB3AF11" w14:textId="671D0C70" w:rsidR="007958EA" w:rsidRDefault="00DD35D0" w:rsidP="007958EA">
          <w:pPr>
            <w:pStyle w:val="Footer"/>
          </w:pPr>
          <w:r>
            <w:rPr>
              <w:rFonts w:ascii="Arial" w:hAnsi="Arial" w:cs="Arial"/>
              <w:noProof/>
              <w:sz w:val="24"/>
              <w:szCs w:val="24"/>
              <w:lang w:eastAsia="en-GB"/>
            </w:rPr>
            <w:drawing>
              <wp:anchor distT="0" distB="0" distL="114300" distR="114300" simplePos="0" relativeHeight="251658240" behindDoc="1" locked="0" layoutInCell="1" allowOverlap="1" wp14:anchorId="7540362D" wp14:editId="7919191B">
                <wp:simplePos x="0" y="0"/>
                <wp:positionH relativeFrom="column">
                  <wp:posOffset>0</wp:posOffset>
                </wp:positionH>
                <wp:positionV relativeFrom="paragraph">
                  <wp:posOffset>4966335</wp:posOffset>
                </wp:positionV>
                <wp:extent cx="5722620" cy="4792980"/>
                <wp:effectExtent l="0" t="0" r="0" b="7620"/>
                <wp:wrapNone/>
                <wp:docPr id="4" name="Picture 4" descr="C:\Users\Asambrook\AppData\Local\Microsoft\Windows\INetCache\Content.Word\Susi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ambrook\AppData\Local\Microsoft\Windows\INetCache\Content.Word\Susie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2620" cy="479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FFDE4" w14:textId="77777777" w:rsidR="007958EA" w:rsidRDefault="007958EA" w:rsidP="007958EA">
          <w:pPr>
            <w:pStyle w:val="Footer"/>
          </w:pPr>
        </w:p>
        <w:p w14:paraId="39CBB7B8" w14:textId="77777777" w:rsidR="007958EA" w:rsidRDefault="007958EA" w:rsidP="007958EA">
          <w:pPr>
            <w:pStyle w:val="Footer"/>
          </w:pPr>
        </w:p>
        <w:p w14:paraId="5753E7E8" w14:textId="77777777" w:rsidR="007958EA" w:rsidRDefault="007958EA" w:rsidP="007958EA">
          <w:pPr>
            <w:pStyle w:val="Footer"/>
          </w:pPr>
        </w:p>
      </w:tc>
      <w:tc>
        <w:tcPr>
          <w:tcW w:w="6509" w:type="dxa"/>
          <w:vAlign w:val="bottom"/>
        </w:tcPr>
        <w:p w14:paraId="48F495DC" w14:textId="3C4AC940" w:rsidR="007958EA" w:rsidRDefault="00DB46A1" w:rsidP="007958EA">
          <w:pPr>
            <w:pStyle w:val="Footer"/>
            <w:jc w:val="right"/>
          </w:pPr>
          <w:r w:rsidRPr="00DD35D0">
            <w:rPr>
              <w:rFonts w:ascii="Arial" w:hAnsi="Arial" w:cs="Arial"/>
              <w:bCs/>
              <w:noProof/>
              <w:sz w:val="20"/>
              <w:szCs w:val="24"/>
              <w:lang w:eastAsia="en-GB"/>
            </w:rPr>
            <w:drawing>
              <wp:anchor distT="0" distB="0" distL="114300" distR="114300" simplePos="0" relativeHeight="251661312" behindDoc="0" locked="0" layoutInCell="1" allowOverlap="1" wp14:anchorId="6A59BA71" wp14:editId="3ECAC654">
                <wp:simplePos x="0" y="0"/>
                <wp:positionH relativeFrom="column">
                  <wp:posOffset>1246505</wp:posOffset>
                </wp:positionH>
                <wp:positionV relativeFrom="paragraph">
                  <wp:posOffset>-834390</wp:posOffset>
                </wp:positionV>
                <wp:extent cx="2073275" cy="384175"/>
                <wp:effectExtent l="0" t="0" r="0" b="0"/>
                <wp:wrapNone/>
                <wp:docPr id="2" name="Picture 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1@4x-8.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73275" cy="384175"/>
                        </a:xfrm>
                        <a:prstGeom prst="rect">
                          <a:avLst/>
                        </a:prstGeom>
                      </pic:spPr>
                    </pic:pic>
                  </a:graphicData>
                </a:graphic>
                <wp14:sizeRelH relativeFrom="page">
                  <wp14:pctWidth>0</wp14:pctWidth>
                </wp14:sizeRelH>
                <wp14:sizeRelV relativeFrom="page">
                  <wp14:pctHeight>0</wp14:pctHeight>
                </wp14:sizeRelV>
              </wp:anchor>
            </w:drawing>
          </w:r>
        </w:p>
      </w:tc>
    </w:tr>
  </w:tbl>
  <w:p w14:paraId="02DEF29B" w14:textId="4A45CCB5" w:rsidR="0019129A" w:rsidRPr="006D2E3B" w:rsidRDefault="0019129A" w:rsidP="00795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9B21DD" w14:textId="77777777" w:rsidR="00BB74C5" w:rsidRDefault="00BB74C5" w:rsidP="00620C71">
      <w:pPr>
        <w:spacing w:after="0" w:line="240" w:lineRule="auto"/>
      </w:pPr>
      <w:r>
        <w:separator/>
      </w:r>
    </w:p>
  </w:footnote>
  <w:footnote w:type="continuationSeparator" w:id="0">
    <w:p w14:paraId="3B3A0D4D" w14:textId="77777777" w:rsidR="00BB74C5" w:rsidRDefault="00BB74C5" w:rsidP="00620C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7C49C" w14:textId="77777777" w:rsidR="00905592" w:rsidRDefault="009055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6E3A0" w14:textId="77777777" w:rsidR="00905592" w:rsidRDefault="009055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C95CB" w14:textId="2D7FECD5" w:rsidR="00DD35D0" w:rsidRDefault="00DD35D0">
    <w:pPr>
      <w:pStyle w:val="Header"/>
    </w:pPr>
    <w:r w:rsidRPr="004F5FF1">
      <w:rPr>
        <w:rFonts w:ascii="Arial" w:hAnsi="Arial" w:cs="Arial"/>
        <w:noProof/>
        <w:sz w:val="24"/>
        <w:szCs w:val="24"/>
        <w:lang w:eastAsia="en-GB"/>
      </w:rPr>
      <w:drawing>
        <wp:anchor distT="0" distB="0" distL="114300" distR="114300" simplePos="0" relativeHeight="251660288" behindDoc="0" locked="0" layoutInCell="1" allowOverlap="1" wp14:anchorId="2B2DA837" wp14:editId="77198F08">
          <wp:simplePos x="0" y="0"/>
          <wp:positionH relativeFrom="column">
            <wp:posOffset>4004441</wp:posOffset>
          </wp:positionH>
          <wp:positionV relativeFrom="paragraph">
            <wp:posOffset>-55442</wp:posOffset>
          </wp:positionV>
          <wp:extent cx="2006600" cy="40437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estec-logo_RGB.eps"/>
                  <pic:cNvPicPr/>
                </pic:nvPicPr>
                <pic:blipFill>
                  <a:blip r:embed="rId1">
                    <a:extLst>
                      <a:ext uri="{28A0092B-C50C-407E-A947-70E740481C1C}">
                        <a14:useLocalDpi xmlns:a14="http://schemas.microsoft.com/office/drawing/2010/main" val="0"/>
                      </a:ext>
                    </a:extLst>
                  </a:blip>
                  <a:stretch>
                    <a:fillRect/>
                  </a:stretch>
                </pic:blipFill>
                <pic:spPr>
                  <a:xfrm>
                    <a:off x="0" y="0"/>
                    <a:ext cx="2006600" cy="40437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659264" behindDoc="0" locked="0" layoutInCell="1" allowOverlap="1" wp14:anchorId="7540362D" wp14:editId="43B7A5CB">
          <wp:simplePos x="0" y="0"/>
          <wp:positionH relativeFrom="column">
            <wp:posOffset>-3531235</wp:posOffset>
          </wp:positionH>
          <wp:positionV relativeFrom="paragraph">
            <wp:posOffset>3053386</wp:posOffset>
          </wp:positionV>
          <wp:extent cx="8560676" cy="7169279"/>
          <wp:effectExtent l="0" t="0" r="0" b="0"/>
          <wp:wrapNone/>
          <wp:docPr id="5" name="Picture 5" descr="C:\Users\Asambrook\AppData\Local\Microsoft\Windows\INetCache\Content.Word\Susi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ambrook\AppData\Local\Microsoft\Windows\INetCache\Content.Word\Susie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60676" cy="716927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63EAB"/>
    <w:multiLevelType w:val="hybridMultilevel"/>
    <w:tmpl w:val="B370503A"/>
    <w:lvl w:ilvl="0" w:tplc="D780044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72BD1"/>
    <w:multiLevelType w:val="hybridMultilevel"/>
    <w:tmpl w:val="DD0818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971369F"/>
    <w:multiLevelType w:val="hybridMultilevel"/>
    <w:tmpl w:val="54EE8600"/>
    <w:lvl w:ilvl="0" w:tplc="5C3AB864">
      <w:numFmt w:val="bullet"/>
      <w:lvlText w:val="-"/>
      <w:lvlJc w:val="left"/>
      <w:pPr>
        <w:ind w:left="720" w:hanging="360"/>
      </w:pPr>
      <w:rPr>
        <w:rFonts w:ascii="Gill Sans MT Pro Light" w:eastAsiaTheme="minorHAnsi" w:hAnsi="Gill Sans MT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D5618A"/>
    <w:multiLevelType w:val="hybridMultilevel"/>
    <w:tmpl w:val="8640D2A0"/>
    <w:lvl w:ilvl="0" w:tplc="5192AA98">
      <w:start w:val="1"/>
      <w:numFmt w:val="bullet"/>
      <w:lvlText w:val="•"/>
      <w:lvlJc w:val="left"/>
      <w:pPr>
        <w:ind w:left="945" w:hanging="360"/>
      </w:pPr>
      <w:rPr>
        <w:rFonts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4" w15:restartNumberingAfterBreak="0">
    <w:nsid w:val="2CC81D62"/>
    <w:multiLevelType w:val="hybridMultilevel"/>
    <w:tmpl w:val="EC54161C"/>
    <w:lvl w:ilvl="0" w:tplc="564C1DCE">
      <w:start w:val="1"/>
      <w:numFmt w:val="upperLetter"/>
      <w:lvlText w:val="%1."/>
      <w:lvlJc w:val="left"/>
      <w:pPr>
        <w:ind w:left="510" w:hanging="360"/>
      </w:pPr>
      <w:rPr>
        <w:rFonts w:hint="default"/>
      </w:rPr>
    </w:lvl>
    <w:lvl w:ilvl="1" w:tplc="08090019" w:tentative="1">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5" w15:restartNumberingAfterBreak="0">
    <w:nsid w:val="66F063B8"/>
    <w:multiLevelType w:val="hybridMultilevel"/>
    <w:tmpl w:val="CE005E28"/>
    <w:lvl w:ilvl="0" w:tplc="5C3AB864">
      <w:numFmt w:val="bullet"/>
      <w:lvlText w:val="-"/>
      <w:lvlJc w:val="left"/>
      <w:pPr>
        <w:ind w:left="954" w:hanging="360"/>
      </w:pPr>
      <w:rPr>
        <w:rFonts w:ascii="Gill Sans MT Pro Light" w:eastAsiaTheme="minorHAnsi" w:hAnsi="Gill Sans MT Pro Light" w:cstheme="minorBidi" w:hint="default"/>
      </w:rPr>
    </w:lvl>
    <w:lvl w:ilvl="1" w:tplc="08090003" w:tentative="1">
      <w:start w:val="1"/>
      <w:numFmt w:val="bullet"/>
      <w:lvlText w:val="o"/>
      <w:lvlJc w:val="left"/>
      <w:pPr>
        <w:ind w:left="1674" w:hanging="360"/>
      </w:pPr>
      <w:rPr>
        <w:rFonts w:ascii="Courier New" w:hAnsi="Courier New" w:cs="Courier New" w:hint="default"/>
      </w:rPr>
    </w:lvl>
    <w:lvl w:ilvl="2" w:tplc="08090005" w:tentative="1">
      <w:start w:val="1"/>
      <w:numFmt w:val="bullet"/>
      <w:lvlText w:val=""/>
      <w:lvlJc w:val="left"/>
      <w:pPr>
        <w:ind w:left="2394" w:hanging="360"/>
      </w:pPr>
      <w:rPr>
        <w:rFonts w:ascii="Wingdings" w:hAnsi="Wingdings" w:hint="default"/>
      </w:rPr>
    </w:lvl>
    <w:lvl w:ilvl="3" w:tplc="08090001" w:tentative="1">
      <w:start w:val="1"/>
      <w:numFmt w:val="bullet"/>
      <w:lvlText w:val=""/>
      <w:lvlJc w:val="left"/>
      <w:pPr>
        <w:ind w:left="3114" w:hanging="360"/>
      </w:pPr>
      <w:rPr>
        <w:rFonts w:ascii="Symbol" w:hAnsi="Symbol" w:hint="default"/>
      </w:rPr>
    </w:lvl>
    <w:lvl w:ilvl="4" w:tplc="08090003" w:tentative="1">
      <w:start w:val="1"/>
      <w:numFmt w:val="bullet"/>
      <w:lvlText w:val="o"/>
      <w:lvlJc w:val="left"/>
      <w:pPr>
        <w:ind w:left="3834" w:hanging="360"/>
      </w:pPr>
      <w:rPr>
        <w:rFonts w:ascii="Courier New" w:hAnsi="Courier New" w:cs="Courier New" w:hint="default"/>
      </w:rPr>
    </w:lvl>
    <w:lvl w:ilvl="5" w:tplc="08090005" w:tentative="1">
      <w:start w:val="1"/>
      <w:numFmt w:val="bullet"/>
      <w:lvlText w:val=""/>
      <w:lvlJc w:val="left"/>
      <w:pPr>
        <w:ind w:left="4554" w:hanging="360"/>
      </w:pPr>
      <w:rPr>
        <w:rFonts w:ascii="Wingdings" w:hAnsi="Wingdings" w:hint="default"/>
      </w:rPr>
    </w:lvl>
    <w:lvl w:ilvl="6" w:tplc="08090001" w:tentative="1">
      <w:start w:val="1"/>
      <w:numFmt w:val="bullet"/>
      <w:lvlText w:val=""/>
      <w:lvlJc w:val="left"/>
      <w:pPr>
        <w:ind w:left="5274" w:hanging="360"/>
      </w:pPr>
      <w:rPr>
        <w:rFonts w:ascii="Symbol" w:hAnsi="Symbol" w:hint="default"/>
      </w:rPr>
    </w:lvl>
    <w:lvl w:ilvl="7" w:tplc="08090003" w:tentative="1">
      <w:start w:val="1"/>
      <w:numFmt w:val="bullet"/>
      <w:lvlText w:val="o"/>
      <w:lvlJc w:val="left"/>
      <w:pPr>
        <w:ind w:left="5994" w:hanging="360"/>
      </w:pPr>
      <w:rPr>
        <w:rFonts w:ascii="Courier New" w:hAnsi="Courier New" w:cs="Courier New" w:hint="default"/>
      </w:rPr>
    </w:lvl>
    <w:lvl w:ilvl="8" w:tplc="08090005" w:tentative="1">
      <w:start w:val="1"/>
      <w:numFmt w:val="bullet"/>
      <w:lvlText w:val=""/>
      <w:lvlJc w:val="left"/>
      <w:pPr>
        <w:ind w:left="6714" w:hanging="360"/>
      </w:pPr>
      <w:rPr>
        <w:rFonts w:ascii="Wingdings" w:hAnsi="Wingdings" w:hint="default"/>
      </w:rPr>
    </w:lvl>
  </w:abstractNum>
  <w:abstractNum w:abstractNumId="6" w15:restartNumberingAfterBreak="0">
    <w:nsid w:val="68541BB7"/>
    <w:multiLevelType w:val="hybridMultilevel"/>
    <w:tmpl w:val="15B65B8A"/>
    <w:lvl w:ilvl="0" w:tplc="588EBAF6">
      <w:start w:val="1"/>
      <w:numFmt w:val="upperLetter"/>
      <w:lvlText w:val="%1."/>
      <w:lvlJc w:val="left"/>
      <w:pPr>
        <w:ind w:left="510" w:hanging="360"/>
      </w:pPr>
      <w:rPr>
        <w:rFonts w:hint="default"/>
      </w:rPr>
    </w:lvl>
    <w:lvl w:ilvl="1" w:tplc="08090019" w:tentative="1">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7" w15:restartNumberingAfterBreak="0">
    <w:nsid w:val="7BCC10F9"/>
    <w:multiLevelType w:val="hybridMultilevel"/>
    <w:tmpl w:val="C2D8611C"/>
    <w:lvl w:ilvl="0" w:tplc="5192AA98">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0"/>
  </w:num>
  <w:num w:numId="6">
    <w:abstractNumId w:val="1"/>
  </w:num>
  <w:num w:numId="7">
    <w:abstractNumId w:val="6"/>
  </w:num>
  <w:num w:numId="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C71"/>
    <w:rsid w:val="0000057C"/>
    <w:rsid w:val="00001A89"/>
    <w:rsid w:val="000154F8"/>
    <w:rsid w:val="000300C2"/>
    <w:rsid w:val="00040921"/>
    <w:rsid w:val="000544D0"/>
    <w:rsid w:val="00065C5A"/>
    <w:rsid w:val="00070F8A"/>
    <w:rsid w:val="00090FD5"/>
    <w:rsid w:val="00091C03"/>
    <w:rsid w:val="000A63F7"/>
    <w:rsid w:val="000B159C"/>
    <w:rsid w:val="000B4393"/>
    <w:rsid w:val="000C6915"/>
    <w:rsid w:val="000C7570"/>
    <w:rsid w:val="000F5FDF"/>
    <w:rsid w:val="00101974"/>
    <w:rsid w:val="001128CF"/>
    <w:rsid w:val="00121073"/>
    <w:rsid w:val="001250E1"/>
    <w:rsid w:val="0012549B"/>
    <w:rsid w:val="00134B7C"/>
    <w:rsid w:val="00134F6A"/>
    <w:rsid w:val="00136F5C"/>
    <w:rsid w:val="00144F28"/>
    <w:rsid w:val="0015572D"/>
    <w:rsid w:val="00163A36"/>
    <w:rsid w:val="001646D6"/>
    <w:rsid w:val="00173C91"/>
    <w:rsid w:val="001771BD"/>
    <w:rsid w:val="00183336"/>
    <w:rsid w:val="0019129A"/>
    <w:rsid w:val="001A5A8D"/>
    <w:rsid w:val="001B3EB0"/>
    <w:rsid w:val="001C6905"/>
    <w:rsid w:val="001D15EA"/>
    <w:rsid w:val="001D48D0"/>
    <w:rsid w:val="001F1D77"/>
    <w:rsid w:val="0020555A"/>
    <w:rsid w:val="00205EF0"/>
    <w:rsid w:val="00211187"/>
    <w:rsid w:val="002115C8"/>
    <w:rsid w:val="0021184C"/>
    <w:rsid w:val="00216264"/>
    <w:rsid w:val="00232E7B"/>
    <w:rsid w:val="002349F7"/>
    <w:rsid w:val="00236A81"/>
    <w:rsid w:val="00256F71"/>
    <w:rsid w:val="00265FDD"/>
    <w:rsid w:val="0027109A"/>
    <w:rsid w:val="00275741"/>
    <w:rsid w:val="00275A9D"/>
    <w:rsid w:val="002939FD"/>
    <w:rsid w:val="002A0C55"/>
    <w:rsid w:val="002A77BD"/>
    <w:rsid w:val="002B615A"/>
    <w:rsid w:val="002D4923"/>
    <w:rsid w:val="002E74E5"/>
    <w:rsid w:val="002F17C9"/>
    <w:rsid w:val="00317F94"/>
    <w:rsid w:val="00347275"/>
    <w:rsid w:val="00362385"/>
    <w:rsid w:val="00387244"/>
    <w:rsid w:val="003E12C7"/>
    <w:rsid w:val="003F5E4E"/>
    <w:rsid w:val="00400323"/>
    <w:rsid w:val="004056A2"/>
    <w:rsid w:val="0040752D"/>
    <w:rsid w:val="00411577"/>
    <w:rsid w:val="004147BA"/>
    <w:rsid w:val="00420933"/>
    <w:rsid w:val="00426461"/>
    <w:rsid w:val="004264A1"/>
    <w:rsid w:val="004342CC"/>
    <w:rsid w:val="00455A56"/>
    <w:rsid w:val="00465D24"/>
    <w:rsid w:val="004710BC"/>
    <w:rsid w:val="00471E75"/>
    <w:rsid w:val="004731E0"/>
    <w:rsid w:val="00497BA2"/>
    <w:rsid w:val="004A51D4"/>
    <w:rsid w:val="004B039A"/>
    <w:rsid w:val="004B5837"/>
    <w:rsid w:val="004B646E"/>
    <w:rsid w:val="004C198C"/>
    <w:rsid w:val="004C7F35"/>
    <w:rsid w:val="004D272B"/>
    <w:rsid w:val="004E6966"/>
    <w:rsid w:val="004F5FF1"/>
    <w:rsid w:val="005006FE"/>
    <w:rsid w:val="00515845"/>
    <w:rsid w:val="00532CA6"/>
    <w:rsid w:val="00540B3D"/>
    <w:rsid w:val="00545C08"/>
    <w:rsid w:val="00547A22"/>
    <w:rsid w:val="00547CB3"/>
    <w:rsid w:val="00555888"/>
    <w:rsid w:val="00565E69"/>
    <w:rsid w:val="0057008D"/>
    <w:rsid w:val="00597E94"/>
    <w:rsid w:val="005A4852"/>
    <w:rsid w:val="005E3ADC"/>
    <w:rsid w:val="005E4A53"/>
    <w:rsid w:val="005F70D2"/>
    <w:rsid w:val="00620C71"/>
    <w:rsid w:val="0062179D"/>
    <w:rsid w:val="00621B2F"/>
    <w:rsid w:val="00634FD4"/>
    <w:rsid w:val="00635567"/>
    <w:rsid w:val="006465FA"/>
    <w:rsid w:val="006466E8"/>
    <w:rsid w:val="00647F99"/>
    <w:rsid w:val="0065104C"/>
    <w:rsid w:val="00654763"/>
    <w:rsid w:val="006552A7"/>
    <w:rsid w:val="00684EEB"/>
    <w:rsid w:val="006872AF"/>
    <w:rsid w:val="006914F1"/>
    <w:rsid w:val="006A0816"/>
    <w:rsid w:val="006A5DBD"/>
    <w:rsid w:val="006C18B2"/>
    <w:rsid w:val="006C2B6E"/>
    <w:rsid w:val="006D2E3B"/>
    <w:rsid w:val="006E7999"/>
    <w:rsid w:val="006F7DE6"/>
    <w:rsid w:val="0070254B"/>
    <w:rsid w:val="007029AC"/>
    <w:rsid w:val="00703A7C"/>
    <w:rsid w:val="007058C2"/>
    <w:rsid w:val="00706334"/>
    <w:rsid w:val="00711F9A"/>
    <w:rsid w:val="007123A4"/>
    <w:rsid w:val="00722CC3"/>
    <w:rsid w:val="00727A1C"/>
    <w:rsid w:val="007531B9"/>
    <w:rsid w:val="00754D2D"/>
    <w:rsid w:val="00756EE2"/>
    <w:rsid w:val="0076250F"/>
    <w:rsid w:val="007958EA"/>
    <w:rsid w:val="00797EA4"/>
    <w:rsid w:val="007A5ABC"/>
    <w:rsid w:val="007B5B59"/>
    <w:rsid w:val="007B76AD"/>
    <w:rsid w:val="007C5224"/>
    <w:rsid w:val="007D4CCD"/>
    <w:rsid w:val="007E10FB"/>
    <w:rsid w:val="007E739A"/>
    <w:rsid w:val="008054C3"/>
    <w:rsid w:val="0080647D"/>
    <w:rsid w:val="008202DE"/>
    <w:rsid w:val="008332F0"/>
    <w:rsid w:val="00847451"/>
    <w:rsid w:val="008476CA"/>
    <w:rsid w:val="0086207B"/>
    <w:rsid w:val="008915B6"/>
    <w:rsid w:val="008966BB"/>
    <w:rsid w:val="008A28CC"/>
    <w:rsid w:val="008B102D"/>
    <w:rsid w:val="008B2773"/>
    <w:rsid w:val="008C4E1E"/>
    <w:rsid w:val="008E4A1D"/>
    <w:rsid w:val="008F75A2"/>
    <w:rsid w:val="00901CE6"/>
    <w:rsid w:val="00905592"/>
    <w:rsid w:val="0091076C"/>
    <w:rsid w:val="00914B7E"/>
    <w:rsid w:val="00930955"/>
    <w:rsid w:val="00934FE0"/>
    <w:rsid w:val="00935F24"/>
    <w:rsid w:val="00941B99"/>
    <w:rsid w:val="00944ED9"/>
    <w:rsid w:val="00946280"/>
    <w:rsid w:val="0095167B"/>
    <w:rsid w:val="0095718E"/>
    <w:rsid w:val="00960315"/>
    <w:rsid w:val="009609E7"/>
    <w:rsid w:val="00983EC9"/>
    <w:rsid w:val="00984854"/>
    <w:rsid w:val="0099796D"/>
    <w:rsid w:val="009B19BF"/>
    <w:rsid w:val="009B2812"/>
    <w:rsid w:val="009B3671"/>
    <w:rsid w:val="009C6BE2"/>
    <w:rsid w:val="009D637F"/>
    <w:rsid w:val="009D6882"/>
    <w:rsid w:val="009F296D"/>
    <w:rsid w:val="009F366E"/>
    <w:rsid w:val="00A105CE"/>
    <w:rsid w:val="00A11A73"/>
    <w:rsid w:val="00A21B39"/>
    <w:rsid w:val="00A566BD"/>
    <w:rsid w:val="00A7356D"/>
    <w:rsid w:val="00A815D9"/>
    <w:rsid w:val="00A86182"/>
    <w:rsid w:val="00A93F38"/>
    <w:rsid w:val="00AA444B"/>
    <w:rsid w:val="00AB3CA2"/>
    <w:rsid w:val="00AD100B"/>
    <w:rsid w:val="00AD694F"/>
    <w:rsid w:val="00AE4EA5"/>
    <w:rsid w:val="00B0310C"/>
    <w:rsid w:val="00B2200C"/>
    <w:rsid w:val="00B23DB2"/>
    <w:rsid w:val="00B26F50"/>
    <w:rsid w:val="00B51834"/>
    <w:rsid w:val="00B51B51"/>
    <w:rsid w:val="00B54D9D"/>
    <w:rsid w:val="00B61684"/>
    <w:rsid w:val="00BA0797"/>
    <w:rsid w:val="00BB5BB9"/>
    <w:rsid w:val="00BB6CAF"/>
    <w:rsid w:val="00BB74C5"/>
    <w:rsid w:val="00BC2007"/>
    <w:rsid w:val="00BC75DB"/>
    <w:rsid w:val="00BD41E6"/>
    <w:rsid w:val="00BE4EF1"/>
    <w:rsid w:val="00BF217D"/>
    <w:rsid w:val="00C119AC"/>
    <w:rsid w:val="00C26715"/>
    <w:rsid w:val="00C44FAF"/>
    <w:rsid w:val="00C51791"/>
    <w:rsid w:val="00C56094"/>
    <w:rsid w:val="00C65EEC"/>
    <w:rsid w:val="00C66E9D"/>
    <w:rsid w:val="00C80963"/>
    <w:rsid w:val="00C92964"/>
    <w:rsid w:val="00CB1656"/>
    <w:rsid w:val="00CC491C"/>
    <w:rsid w:val="00CE00AB"/>
    <w:rsid w:val="00CE784E"/>
    <w:rsid w:val="00CF1C16"/>
    <w:rsid w:val="00CF7FD6"/>
    <w:rsid w:val="00D06F37"/>
    <w:rsid w:val="00D143C4"/>
    <w:rsid w:val="00D14AC9"/>
    <w:rsid w:val="00D27CFC"/>
    <w:rsid w:val="00D33A0B"/>
    <w:rsid w:val="00D456FB"/>
    <w:rsid w:val="00D524CB"/>
    <w:rsid w:val="00D70BFA"/>
    <w:rsid w:val="00D770D3"/>
    <w:rsid w:val="00D8493D"/>
    <w:rsid w:val="00D926C3"/>
    <w:rsid w:val="00D92FB8"/>
    <w:rsid w:val="00D9518C"/>
    <w:rsid w:val="00DB46A1"/>
    <w:rsid w:val="00DD35D0"/>
    <w:rsid w:val="00DE0184"/>
    <w:rsid w:val="00DE0EE3"/>
    <w:rsid w:val="00DE19BF"/>
    <w:rsid w:val="00DF18CF"/>
    <w:rsid w:val="00DF3B7B"/>
    <w:rsid w:val="00E052B6"/>
    <w:rsid w:val="00E054F7"/>
    <w:rsid w:val="00E4483F"/>
    <w:rsid w:val="00E51449"/>
    <w:rsid w:val="00E624AB"/>
    <w:rsid w:val="00E72579"/>
    <w:rsid w:val="00E74144"/>
    <w:rsid w:val="00E76EE3"/>
    <w:rsid w:val="00E85377"/>
    <w:rsid w:val="00E9181A"/>
    <w:rsid w:val="00E972AF"/>
    <w:rsid w:val="00EA15C3"/>
    <w:rsid w:val="00EC2D15"/>
    <w:rsid w:val="00EC379C"/>
    <w:rsid w:val="00ED4C27"/>
    <w:rsid w:val="00EE6073"/>
    <w:rsid w:val="00EF4060"/>
    <w:rsid w:val="00EF7886"/>
    <w:rsid w:val="00F11B7C"/>
    <w:rsid w:val="00F12FE1"/>
    <w:rsid w:val="00F14019"/>
    <w:rsid w:val="00F35CFF"/>
    <w:rsid w:val="00F60336"/>
    <w:rsid w:val="00F66F98"/>
    <w:rsid w:val="00F804C0"/>
    <w:rsid w:val="00F82F8B"/>
    <w:rsid w:val="00F84C1A"/>
    <w:rsid w:val="00F9221B"/>
    <w:rsid w:val="00F95AF7"/>
    <w:rsid w:val="00F96F60"/>
    <w:rsid w:val="00FB2787"/>
    <w:rsid w:val="00FB45FB"/>
    <w:rsid w:val="00FC40B6"/>
    <w:rsid w:val="00FD0000"/>
    <w:rsid w:val="00FD09D8"/>
    <w:rsid w:val="00FD3428"/>
    <w:rsid w:val="00FD4849"/>
    <w:rsid w:val="00FF5E88"/>
    <w:rsid w:val="0F5045E0"/>
    <w:rsid w:val="1ADDD617"/>
    <w:rsid w:val="39BC1099"/>
    <w:rsid w:val="5AC5D82B"/>
    <w:rsid w:val="62D117C9"/>
    <w:rsid w:val="670F2969"/>
    <w:rsid w:val="7117C545"/>
    <w:rsid w:val="7CDDC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8F9C3D8"/>
  <w15:chartTrackingRefBased/>
  <w15:docId w15:val="{2BA7A74F-BD92-461D-B995-2903C52F9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4CB"/>
    <w:pPr>
      <w:spacing w:after="200" w:line="276" w:lineRule="auto"/>
    </w:pPr>
  </w:style>
  <w:style w:type="paragraph" w:styleId="Heading1">
    <w:name w:val="heading 1"/>
    <w:basedOn w:val="Normal"/>
    <w:next w:val="Normal"/>
    <w:link w:val="Heading1Char"/>
    <w:uiPriority w:val="9"/>
    <w:qFormat/>
    <w:rsid w:val="009C6BE2"/>
    <w:pPr>
      <w:keepNext/>
      <w:keepLines/>
      <w:spacing w:before="240" w:after="0"/>
      <w:outlineLvl w:val="0"/>
    </w:pPr>
    <w:rPr>
      <w:rFonts w:asciiTheme="majorHAnsi" w:eastAsiaTheme="majorEastAsia" w:hAnsiTheme="majorHAnsi" w:cstheme="majorBidi"/>
      <w:color w:val="2C69B5" w:themeColor="accent1" w:themeShade="BF"/>
      <w:sz w:val="32"/>
      <w:szCs w:val="32"/>
    </w:rPr>
  </w:style>
  <w:style w:type="paragraph" w:styleId="Heading2">
    <w:name w:val="heading 2"/>
    <w:basedOn w:val="Normal"/>
    <w:link w:val="Heading2Char"/>
    <w:uiPriority w:val="9"/>
    <w:unhideWhenUsed/>
    <w:qFormat/>
    <w:rsid w:val="006D2E3B"/>
    <w:pPr>
      <w:widowControl w:val="0"/>
      <w:autoSpaceDE w:val="0"/>
      <w:autoSpaceDN w:val="0"/>
      <w:spacing w:after="0" w:line="240" w:lineRule="auto"/>
      <w:ind w:left="840" w:hanging="735"/>
      <w:outlineLvl w:val="1"/>
    </w:pPr>
    <w:rPr>
      <w:rFonts w:ascii="Arial" w:eastAsia="Arial" w:hAnsi="Arial" w:cs="Arial"/>
      <w:b/>
      <w:bCs/>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0C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0C71"/>
  </w:style>
  <w:style w:type="paragraph" w:styleId="Footer">
    <w:name w:val="footer"/>
    <w:basedOn w:val="Normal"/>
    <w:link w:val="FooterChar"/>
    <w:uiPriority w:val="99"/>
    <w:unhideWhenUsed/>
    <w:rsid w:val="00620C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0C71"/>
  </w:style>
  <w:style w:type="paragraph" w:styleId="NoSpacing">
    <w:name w:val="No Spacing"/>
    <w:uiPriority w:val="1"/>
    <w:qFormat/>
    <w:rsid w:val="00620C71"/>
    <w:pPr>
      <w:spacing w:after="0" w:line="240" w:lineRule="auto"/>
    </w:pPr>
  </w:style>
  <w:style w:type="paragraph" w:styleId="ListParagraph">
    <w:name w:val="List Paragraph"/>
    <w:basedOn w:val="Normal"/>
    <w:uiPriority w:val="34"/>
    <w:qFormat/>
    <w:rsid w:val="00620C71"/>
    <w:pPr>
      <w:spacing w:after="160" w:line="259" w:lineRule="auto"/>
      <w:ind w:left="720"/>
      <w:contextualSpacing/>
    </w:pPr>
  </w:style>
  <w:style w:type="character" w:styleId="Hyperlink">
    <w:name w:val="Hyperlink"/>
    <w:basedOn w:val="DefaultParagraphFont"/>
    <w:uiPriority w:val="99"/>
    <w:unhideWhenUsed/>
    <w:rsid w:val="00CE784E"/>
    <w:rPr>
      <w:color w:val="0563C1" w:themeColor="hyperlink"/>
      <w:u w:val="single"/>
    </w:rPr>
  </w:style>
  <w:style w:type="character" w:styleId="CommentReference">
    <w:name w:val="annotation reference"/>
    <w:basedOn w:val="DefaultParagraphFont"/>
    <w:unhideWhenUsed/>
    <w:rsid w:val="0095167B"/>
    <w:rPr>
      <w:sz w:val="16"/>
      <w:szCs w:val="16"/>
    </w:rPr>
  </w:style>
  <w:style w:type="paragraph" w:styleId="CommentText">
    <w:name w:val="annotation text"/>
    <w:basedOn w:val="Normal"/>
    <w:link w:val="CommentTextChar"/>
    <w:uiPriority w:val="99"/>
    <w:unhideWhenUsed/>
    <w:rsid w:val="0095167B"/>
    <w:pPr>
      <w:spacing w:line="240" w:lineRule="auto"/>
    </w:pPr>
    <w:rPr>
      <w:sz w:val="20"/>
      <w:szCs w:val="20"/>
    </w:rPr>
  </w:style>
  <w:style w:type="character" w:customStyle="1" w:styleId="CommentTextChar">
    <w:name w:val="Comment Text Char"/>
    <w:basedOn w:val="DefaultParagraphFont"/>
    <w:link w:val="CommentText"/>
    <w:uiPriority w:val="99"/>
    <w:rsid w:val="0095167B"/>
    <w:rPr>
      <w:sz w:val="20"/>
      <w:szCs w:val="20"/>
    </w:rPr>
  </w:style>
  <w:style w:type="paragraph" w:styleId="CommentSubject">
    <w:name w:val="annotation subject"/>
    <w:basedOn w:val="CommentText"/>
    <w:next w:val="CommentText"/>
    <w:link w:val="CommentSubjectChar"/>
    <w:uiPriority w:val="99"/>
    <w:semiHidden/>
    <w:unhideWhenUsed/>
    <w:rsid w:val="0095167B"/>
    <w:rPr>
      <w:b/>
      <w:bCs/>
    </w:rPr>
  </w:style>
  <w:style w:type="character" w:customStyle="1" w:styleId="CommentSubjectChar">
    <w:name w:val="Comment Subject Char"/>
    <w:basedOn w:val="CommentTextChar"/>
    <w:link w:val="CommentSubject"/>
    <w:uiPriority w:val="99"/>
    <w:semiHidden/>
    <w:rsid w:val="0095167B"/>
    <w:rPr>
      <w:b/>
      <w:bCs/>
      <w:sz w:val="20"/>
      <w:szCs w:val="20"/>
    </w:rPr>
  </w:style>
  <w:style w:type="paragraph" w:styleId="BalloonText">
    <w:name w:val="Balloon Text"/>
    <w:basedOn w:val="Normal"/>
    <w:link w:val="BalloonTextChar"/>
    <w:uiPriority w:val="99"/>
    <w:semiHidden/>
    <w:unhideWhenUsed/>
    <w:rsid w:val="009516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67B"/>
    <w:rPr>
      <w:rFonts w:ascii="Segoe UI" w:hAnsi="Segoe UI" w:cs="Segoe UI"/>
      <w:sz w:val="18"/>
      <w:szCs w:val="18"/>
    </w:rPr>
  </w:style>
  <w:style w:type="paragraph" w:styleId="NormalWeb">
    <w:name w:val="Normal (Web)"/>
    <w:basedOn w:val="Normal"/>
    <w:uiPriority w:val="99"/>
    <w:semiHidden/>
    <w:unhideWhenUsed/>
    <w:rsid w:val="00D33A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5158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5845"/>
    <w:rPr>
      <w:sz w:val="20"/>
      <w:szCs w:val="20"/>
    </w:rPr>
  </w:style>
  <w:style w:type="character" w:styleId="FootnoteReference">
    <w:name w:val="footnote reference"/>
    <w:basedOn w:val="DefaultParagraphFont"/>
    <w:uiPriority w:val="99"/>
    <w:semiHidden/>
    <w:unhideWhenUsed/>
    <w:rsid w:val="00515845"/>
    <w:rPr>
      <w:vertAlign w:val="superscript"/>
    </w:rPr>
  </w:style>
  <w:style w:type="paragraph" w:customStyle="1" w:styleId="Default">
    <w:name w:val="Default"/>
    <w:rsid w:val="00E052B6"/>
    <w:pPr>
      <w:autoSpaceDE w:val="0"/>
      <w:autoSpaceDN w:val="0"/>
      <w:adjustRightInd w:val="0"/>
      <w:spacing w:after="0" w:line="240" w:lineRule="auto"/>
    </w:pPr>
    <w:rPr>
      <w:rFonts w:ascii="Calibri" w:hAnsi="Calibri" w:cs="Calibri"/>
      <w:color w:val="000000"/>
      <w:sz w:val="24"/>
      <w:szCs w:val="24"/>
    </w:rPr>
  </w:style>
  <w:style w:type="paragraph" w:customStyle="1" w:styleId="aw">
    <w:name w:val="aw"/>
    <w:basedOn w:val="Normal"/>
    <w:rsid w:val="008C4E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r">
    <w:name w:val="ar"/>
    <w:basedOn w:val="DefaultParagraphFont"/>
    <w:rsid w:val="008C4E1E"/>
  </w:style>
  <w:style w:type="table" w:styleId="TableGrid">
    <w:name w:val="Table Grid"/>
    <w:basedOn w:val="TableNormal"/>
    <w:uiPriority w:val="39"/>
    <w:rsid w:val="008F7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804C0"/>
    <w:pPr>
      <w:widowControl w:val="0"/>
      <w:autoSpaceDE w:val="0"/>
      <w:autoSpaceDN w:val="0"/>
      <w:spacing w:after="0" w:line="240" w:lineRule="auto"/>
      <w:jc w:val="center"/>
    </w:pPr>
    <w:rPr>
      <w:rFonts w:ascii="Arial" w:eastAsia="Arial" w:hAnsi="Arial" w:cs="Arial"/>
      <w:lang w:eastAsia="en-GB" w:bidi="en-GB"/>
    </w:rPr>
  </w:style>
  <w:style w:type="paragraph" w:styleId="BodyText">
    <w:name w:val="Body Text"/>
    <w:basedOn w:val="Normal"/>
    <w:link w:val="BodyTextChar"/>
    <w:uiPriority w:val="1"/>
    <w:qFormat/>
    <w:rsid w:val="006D2E3B"/>
    <w:pPr>
      <w:widowControl w:val="0"/>
      <w:autoSpaceDE w:val="0"/>
      <w:autoSpaceDN w:val="0"/>
      <w:spacing w:after="0" w:line="240" w:lineRule="auto"/>
    </w:pPr>
    <w:rPr>
      <w:rFonts w:ascii="Arial" w:eastAsia="Arial" w:hAnsi="Arial" w:cs="Arial"/>
      <w:sz w:val="20"/>
      <w:szCs w:val="20"/>
      <w:lang w:eastAsia="en-GB" w:bidi="en-GB"/>
    </w:rPr>
  </w:style>
  <w:style w:type="character" w:customStyle="1" w:styleId="BodyTextChar">
    <w:name w:val="Body Text Char"/>
    <w:basedOn w:val="DefaultParagraphFont"/>
    <w:link w:val="BodyText"/>
    <w:uiPriority w:val="1"/>
    <w:rsid w:val="006D2E3B"/>
    <w:rPr>
      <w:rFonts w:ascii="Arial" w:eastAsia="Arial" w:hAnsi="Arial" w:cs="Arial"/>
      <w:sz w:val="20"/>
      <w:szCs w:val="20"/>
      <w:lang w:eastAsia="en-GB" w:bidi="en-GB"/>
    </w:rPr>
  </w:style>
  <w:style w:type="paragraph" w:styleId="TOC1">
    <w:name w:val="toc 1"/>
    <w:basedOn w:val="Normal"/>
    <w:uiPriority w:val="1"/>
    <w:qFormat/>
    <w:rsid w:val="006D2E3B"/>
    <w:pPr>
      <w:widowControl w:val="0"/>
      <w:autoSpaceDE w:val="0"/>
      <w:autoSpaceDN w:val="0"/>
      <w:spacing w:before="101" w:after="0" w:line="240" w:lineRule="auto"/>
      <w:ind w:left="134"/>
    </w:pPr>
    <w:rPr>
      <w:rFonts w:ascii="Arial" w:eastAsia="Arial" w:hAnsi="Arial" w:cs="Arial"/>
      <w:sz w:val="20"/>
      <w:szCs w:val="20"/>
      <w:lang w:eastAsia="en-GB" w:bidi="en-GB"/>
    </w:rPr>
  </w:style>
  <w:style w:type="paragraph" w:styleId="TOC2">
    <w:name w:val="toc 2"/>
    <w:basedOn w:val="Normal"/>
    <w:uiPriority w:val="1"/>
    <w:qFormat/>
    <w:rsid w:val="006D2E3B"/>
    <w:pPr>
      <w:widowControl w:val="0"/>
      <w:autoSpaceDE w:val="0"/>
      <w:autoSpaceDN w:val="0"/>
      <w:spacing w:before="101" w:after="0" w:line="240" w:lineRule="auto"/>
      <w:ind w:left="1001" w:hanging="668"/>
    </w:pPr>
    <w:rPr>
      <w:rFonts w:ascii="Arial" w:eastAsia="Arial" w:hAnsi="Arial" w:cs="Arial"/>
      <w:sz w:val="20"/>
      <w:szCs w:val="20"/>
      <w:lang w:eastAsia="en-GB" w:bidi="en-GB"/>
    </w:rPr>
  </w:style>
  <w:style w:type="character" w:customStyle="1" w:styleId="Heading2Char">
    <w:name w:val="Heading 2 Char"/>
    <w:basedOn w:val="DefaultParagraphFont"/>
    <w:link w:val="Heading2"/>
    <w:uiPriority w:val="9"/>
    <w:rsid w:val="006D2E3B"/>
    <w:rPr>
      <w:rFonts w:ascii="Arial" w:eastAsia="Arial" w:hAnsi="Arial" w:cs="Arial"/>
      <w:b/>
      <w:bCs/>
      <w:lang w:eastAsia="en-GB" w:bidi="en-GB"/>
    </w:rPr>
  </w:style>
  <w:style w:type="character" w:customStyle="1" w:styleId="Heading1Char">
    <w:name w:val="Heading 1 Char"/>
    <w:basedOn w:val="DefaultParagraphFont"/>
    <w:link w:val="Heading1"/>
    <w:uiPriority w:val="9"/>
    <w:rsid w:val="009C6BE2"/>
    <w:rPr>
      <w:rFonts w:asciiTheme="majorHAnsi" w:eastAsiaTheme="majorEastAsia" w:hAnsiTheme="majorHAnsi" w:cstheme="majorBidi"/>
      <w:color w:val="2C69B5" w:themeColor="accent1" w:themeShade="BF"/>
      <w:sz w:val="32"/>
      <w:szCs w:val="32"/>
    </w:rPr>
  </w:style>
  <w:style w:type="character" w:styleId="PageNumber">
    <w:name w:val="page number"/>
    <w:basedOn w:val="DefaultParagraphFont"/>
    <w:uiPriority w:val="99"/>
    <w:semiHidden/>
    <w:unhideWhenUsed/>
    <w:rsid w:val="00BB5B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17223">
      <w:bodyDiv w:val="1"/>
      <w:marLeft w:val="0"/>
      <w:marRight w:val="0"/>
      <w:marTop w:val="0"/>
      <w:marBottom w:val="0"/>
      <w:divBdr>
        <w:top w:val="none" w:sz="0" w:space="0" w:color="auto"/>
        <w:left w:val="none" w:sz="0" w:space="0" w:color="auto"/>
        <w:bottom w:val="none" w:sz="0" w:space="0" w:color="auto"/>
        <w:right w:val="none" w:sz="0" w:space="0" w:color="auto"/>
      </w:divBdr>
    </w:div>
    <w:div w:id="124085808">
      <w:bodyDiv w:val="1"/>
      <w:marLeft w:val="0"/>
      <w:marRight w:val="0"/>
      <w:marTop w:val="0"/>
      <w:marBottom w:val="0"/>
      <w:divBdr>
        <w:top w:val="none" w:sz="0" w:space="0" w:color="auto"/>
        <w:left w:val="none" w:sz="0" w:space="0" w:color="auto"/>
        <w:bottom w:val="none" w:sz="0" w:space="0" w:color="auto"/>
        <w:right w:val="none" w:sz="0" w:space="0" w:color="auto"/>
      </w:divBdr>
    </w:div>
    <w:div w:id="150609745">
      <w:bodyDiv w:val="1"/>
      <w:marLeft w:val="0"/>
      <w:marRight w:val="0"/>
      <w:marTop w:val="0"/>
      <w:marBottom w:val="0"/>
      <w:divBdr>
        <w:top w:val="none" w:sz="0" w:space="0" w:color="auto"/>
        <w:left w:val="none" w:sz="0" w:space="0" w:color="auto"/>
        <w:bottom w:val="none" w:sz="0" w:space="0" w:color="auto"/>
        <w:right w:val="none" w:sz="0" w:space="0" w:color="auto"/>
      </w:divBdr>
    </w:div>
    <w:div w:id="281300811">
      <w:bodyDiv w:val="1"/>
      <w:marLeft w:val="0"/>
      <w:marRight w:val="0"/>
      <w:marTop w:val="0"/>
      <w:marBottom w:val="0"/>
      <w:divBdr>
        <w:top w:val="none" w:sz="0" w:space="0" w:color="auto"/>
        <w:left w:val="none" w:sz="0" w:space="0" w:color="auto"/>
        <w:bottom w:val="none" w:sz="0" w:space="0" w:color="auto"/>
        <w:right w:val="none" w:sz="0" w:space="0" w:color="auto"/>
      </w:divBdr>
    </w:div>
    <w:div w:id="337192182">
      <w:bodyDiv w:val="1"/>
      <w:marLeft w:val="0"/>
      <w:marRight w:val="0"/>
      <w:marTop w:val="0"/>
      <w:marBottom w:val="0"/>
      <w:divBdr>
        <w:top w:val="none" w:sz="0" w:space="0" w:color="auto"/>
        <w:left w:val="none" w:sz="0" w:space="0" w:color="auto"/>
        <w:bottom w:val="none" w:sz="0" w:space="0" w:color="auto"/>
        <w:right w:val="none" w:sz="0" w:space="0" w:color="auto"/>
      </w:divBdr>
      <w:divsChild>
        <w:div w:id="1470973451">
          <w:marLeft w:val="0"/>
          <w:marRight w:val="0"/>
          <w:marTop w:val="0"/>
          <w:marBottom w:val="0"/>
          <w:divBdr>
            <w:top w:val="none" w:sz="0" w:space="0" w:color="auto"/>
            <w:left w:val="none" w:sz="0" w:space="0" w:color="auto"/>
            <w:bottom w:val="none" w:sz="0" w:space="0" w:color="auto"/>
            <w:right w:val="none" w:sz="0" w:space="0" w:color="auto"/>
          </w:divBdr>
          <w:divsChild>
            <w:div w:id="1378315651">
              <w:marLeft w:val="0"/>
              <w:marRight w:val="0"/>
              <w:marTop w:val="0"/>
              <w:marBottom w:val="0"/>
              <w:divBdr>
                <w:top w:val="none" w:sz="0" w:space="0" w:color="auto"/>
                <w:left w:val="none" w:sz="0" w:space="0" w:color="auto"/>
                <w:bottom w:val="none" w:sz="0" w:space="0" w:color="auto"/>
                <w:right w:val="none" w:sz="0" w:space="0" w:color="auto"/>
              </w:divBdr>
              <w:divsChild>
                <w:div w:id="16486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86029">
      <w:bodyDiv w:val="1"/>
      <w:marLeft w:val="0"/>
      <w:marRight w:val="0"/>
      <w:marTop w:val="0"/>
      <w:marBottom w:val="0"/>
      <w:divBdr>
        <w:top w:val="none" w:sz="0" w:space="0" w:color="auto"/>
        <w:left w:val="none" w:sz="0" w:space="0" w:color="auto"/>
        <w:bottom w:val="none" w:sz="0" w:space="0" w:color="auto"/>
        <w:right w:val="none" w:sz="0" w:space="0" w:color="auto"/>
      </w:divBdr>
    </w:div>
    <w:div w:id="809981183">
      <w:bodyDiv w:val="1"/>
      <w:marLeft w:val="0"/>
      <w:marRight w:val="0"/>
      <w:marTop w:val="0"/>
      <w:marBottom w:val="0"/>
      <w:divBdr>
        <w:top w:val="none" w:sz="0" w:space="0" w:color="auto"/>
        <w:left w:val="none" w:sz="0" w:space="0" w:color="auto"/>
        <w:bottom w:val="none" w:sz="0" w:space="0" w:color="auto"/>
        <w:right w:val="none" w:sz="0" w:space="0" w:color="auto"/>
      </w:divBdr>
    </w:div>
    <w:div w:id="817842134">
      <w:bodyDiv w:val="1"/>
      <w:marLeft w:val="0"/>
      <w:marRight w:val="0"/>
      <w:marTop w:val="0"/>
      <w:marBottom w:val="0"/>
      <w:divBdr>
        <w:top w:val="none" w:sz="0" w:space="0" w:color="auto"/>
        <w:left w:val="none" w:sz="0" w:space="0" w:color="auto"/>
        <w:bottom w:val="none" w:sz="0" w:space="0" w:color="auto"/>
        <w:right w:val="none" w:sz="0" w:space="0" w:color="auto"/>
      </w:divBdr>
    </w:div>
    <w:div w:id="856890127">
      <w:bodyDiv w:val="1"/>
      <w:marLeft w:val="0"/>
      <w:marRight w:val="0"/>
      <w:marTop w:val="0"/>
      <w:marBottom w:val="0"/>
      <w:divBdr>
        <w:top w:val="none" w:sz="0" w:space="0" w:color="auto"/>
        <w:left w:val="none" w:sz="0" w:space="0" w:color="auto"/>
        <w:bottom w:val="none" w:sz="0" w:space="0" w:color="auto"/>
        <w:right w:val="none" w:sz="0" w:space="0" w:color="auto"/>
      </w:divBdr>
    </w:div>
    <w:div w:id="1093477173">
      <w:bodyDiv w:val="1"/>
      <w:marLeft w:val="0"/>
      <w:marRight w:val="0"/>
      <w:marTop w:val="0"/>
      <w:marBottom w:val="0"/>
      <w:divBdr>
        <w:top w:val="none" w:sz="0" w:space="0" w:color="auto"/>
        <w:left w:val="none" w:sz="0" w:space="0" w:color="auto"/>
        <w:bottom w:val="none" w:sz="0" w:space="0" w:color="auto"/>
        <w:right w:val="none" w:sz="0" w:space="0" w:color="auto"/>
      </w:divBdr>
      <w:divsChild>
        <w:div w:id="111479986">
          <w:marLeft w:val="274"/>
          <w:marRight w:val="0"/>
          <w:marTop w:val="0"/>
          <w:marBottom w:val="0"/>
          <w:divBdr>
            <w:top w:val="none" w:sz="0" w:space="0" w:color="auto"/>
            <w:left w:val="none" w:sz="0" w:space="0" w:color="auto"/>
            <w:bottom w:val="none" w:sz="0" w:space="0" w:color="auto"/>
            <w:right w:val="none" w:sz="0" w:space="0" w:color="auto"/>
          </w:divBdr>
        </w:div>
        <w:div w:id="312874090">
          <w:marLeft w:val="274"/>
          <w:marRight w:val="0"/>
          <w:marTop w:val="0"/>
          <w:marBottom w:val="0"/>
          <w:divBdr>
            <w:top w:val="none" w:sz="0" w:space="0" w:color="auto"/>
            <w:left w:val="none" w:sz="0" w:space="0" w:color="auto"/>
            <w:bottom w:val="none" w:sz="0" w:space="0" w:color="auto"/>
            <w:right w:val="none" w:sz="0" w:space="0" w:color="auto"/>
          </w:divBdr>
        </w:div>
        <w:div w:id="380445250">
          <w:marLeft w:val="274"/>
          <w:marRight w:val="0"/>
          <w:marTop w:val="0"/>
          <w:marBottom w:val="0"/>
          <w:divBdr>
            <w:top w:val="none" w:sz="0" w:space="0" w:color="auto"/>
            <w:left w:val="none" w:sz="0" w:space="0" w:color="auto"/>
            <w:bottom w:val="none" w:sz="0" w:space="0" w:color="auto"/>
            <w:right w:val="none" w:sz="0" w:space="0" w:color="auto"/>
          </w:divBdr>
        </w:div>
        <w:div w:id="757601636">
          <w:marLeft w:val="274"/>
          <w:marRight w:val="0"/>
          <w:marTop w:val="0"/>
          <w:marBottom w:val="0"/>
          <w:divBdr>
            <w:top w:val="none" w:sz="0" w:space="0" w:color="auto"/>
            <w:left w:val="none" w:sz="0" w:space="0" w:color="auto"/>
            <w:bottom w:val="none" w:sz="0" w:space="0" w:color="auto"/>
            <w:right w:val="none" w:sz="0" w:space="0" w:color="auto"/>
          </w:divBdr>
        </w:div>
        <w:div w:id="1377002164">
          <w:marLeft w:val="274"/>
          <w:marRight w:val="0"/>
          <w:marTop w:val="0"/>
          <w:marBottom w:val="0"/>
          <w:divBdr>
            <w:top w:val="none" w:sz="0" w:space="0" w:color="auto"/>
            <w:left w:val="none" w:sz="0" w:space="0" w:color="auto"/>
            <w:bottom w:val="none" w:sz="0" w:space="0" w:color="auto"/>
            <w:right w:val="none" w:sz="0" w:space="0" w:color="auto"/>
          </w:divBdr>
        </w:div>
        <w:div w:id="1380402433">
          <w:marLeft w:val="274"/>
          <w:marRight w:val="0"/>
          <w:marTop w:val="0"/>
          <w:marBottom w:val="0"/>
          <w:divBdr>
            <w:top w:val="none" w:sz="0" w:space="0" w:color="auto"/>
            <w:left w:val="none" w:sz="0" w:space="0" w:color="auto"/>
            <w:bottom w:val="none" w:sz="0" w:space="0" w:color="auto"/>
            <w:right w:val="none" w:sz="0" w:space="0" w:color="auto"/>
          </w:divBdr>
        </w:div>
        <w:div w:id="1534877125">
          <w:marLeft w:val="274"/>
          <w:marRight w:val="0"/>
          <w:marTop w:val="0"/>
          <w:marBottom w:val="0"/>
          <w:divBdr>
            <w:top w:val="none" w:sz="0" w:space="0" w:color="auto"/>
            <w:left w:val="none" w:sz="0" w:space="0" w:color="auto"/>
            <w:bottom w:val="none" w:sz="0" w:space="0" w:color="auto"/>
            <w:right w:val="none" w:sz="0" w:space="0" w:color="auto"/>
          </w:divBdr>
        </w:div>
        <w:div w:id="2010912217">
          <w:marLeft w:val="274"/>
          <w:marRight w:val="0"/>
          <w:marTop w:val="0"/>
          <w:marBottom w:val="0"/>
          <w:divBdr>
            <w:top w:val="none" w:sz="0" w:space="0" w:color="auto"/>
            <w:left w:val="none" w:sz="0" w:space="0" w:color="auto"/>
            <w:bottom w:val="none" w:sz="0" w:space="0" w:color="auto"/>
            <w:right w:val="none" w:sz="0" w:space="0" w:color="auto"/>
          </w:divBdr>
        </w:div>
      </w:divsChild>
    </w:div>
    <w:div w:id="1165320219">
      <w:bodyDiv w:val="1"/>
      <w:marLeft w:val="0"/>
      <w:marRight w:val="0"/>
      <w:marTop w:val="0"/>
      <w:marBottom w:val="0"/>
      <w:divBdr>
        <w:top w:val="none" w:sz="0" w:space="0" w:color="auto"/>
        <w:left w:val="none" w:sz="0" w:space="0" w:color="auto"/>
        <w:bottom w:val="none" w:sz="0" w:space="0" w:color="auto"/>
        <w:right w:val="none" w:sz="0" w:space="0" w:color="auto"/>
      </w:divBdr>
    </w:div>
    <w:div w:id="1308970046">
      <w:bodyDiv w:val="1"/>
      <w:marLeft w:val="0"/>
      <w:marRight w:val="0"/>
      <w:marTop w:val="0"/>
      <w:marBottom w:val="0"/>
      <w:divBdr>
        <w:top w:val="none" w:sz="0" w:space="0" w:color="auto"/>
        <w:left w:val="none" w:sz="0" w:space="0" w:color="auto"/>
        <w:bottom w:val="none" w:sz="0" w:space="0" w:color="auto"/>
        <w:right w:val="none" w:sz="0" w:space="0" w:color="auto"/>
      </w:divBdr>
    </w:div>
    <w:div w:id="1388265435">
      <w:bodyDiv w:val="1"/>
      <w:marLeft w:val="0"/>
      <w:marRight w:val="0"/>
      <w:marTop w:val="0"/>
      <w:marBottom w:val="0"/>
      <w:divBdr>
        <w:top w:val="none" w:sz="0" w:space="0" w:color="auto"/>
        <w:left w:val="none" w:sz="0" w:space="0" w:color="auto"/>
        <w:bottom w:val="none" w:sz="0" w:space="0" w:color="auto"/>
        <w:right w:val="none" w:sz="0" w:space="0" w:color="auto"/>
      </w:divBdr>
    </w:div>
    <w:div w:id="1774204251">
      <w:bodyDiv w:val="1"/>
      <w:marLeft w:val="0"/>
      <w:marRight w:val="0"/>
      <w:marTop w:val="0"/>
      <w:marBottom w:val="0"/>
      <w:divBdr>
        <w:top w:val="none" w:sz="0" w:space="0" w:color="auto"/>
        <w:left w:val="none" w:sz="0" w:space="0" w:color="auto"/>
        <w:bottom w:val="none" w:sz="0" w:space="0" w:color="auto"/>
        <w:right w:val="none" w:sz="0" w:space="0" w:color="auto"/>
      </w:divBdr>
      <w:divsChild>
        <w:div w:id="474493168">
          <w:marLeft w:val="274"/>
          <w:marRight w:val="0"/>
          <w:marTop w:val="120"/>
          <w:marBottom w:val="120"/>
          <w:divBdr>
            <w:top w:val="none" w:sz="0" w:space="0" w:color="auto"/>
            <w:left w:val="none" w:sz="0" w:space="0" w:color="auto"/>
            <w:bottom w:val="none" w:sz="0" w:space="0" w:color="auto"/>
            <w:right w:val="none" w:sz="0" w:space="0" w:color="auto"/>
          </w:divBdr>
        </w:div>
        <w:div w:id="580330154">
          <w:marLeft w:val="274"/>
          <w:marRight w:val="0"/>
          <w:marTop w:val="120"/>
          <w:marBottom w:val="120"/>
          <w:divBdr>
            <w:top w:val="none" w:sz="0" w:space="0" w:color="auto"/>
            <w:left w:val="none" w:sz="0" w:space="0" w:color="auto"/>
            <w:bottom w:val="none" w:sz="0" w:space="0" w:color="auto"/>
            <w:right w:val="none" w:sz="0" w:space="0" w:color="auto"/>
          </w:divBdr>
        </w:div>
        <w:div w:id="868445844">
          <w:marLeft w:val="274"/>
          <w:marRight w:val="0"/>
          <w:marTop w:val="120"/>
          <w:marBottom w:val="120"/>
          <w:divBdr>
            <w:top w:val="none" w:sz="0" w:space="0" w:color="auto"/>
            <w:left w:val="none" w:sz="0" w:space="0" w:color="auto"/>
            <w:bottom w:val="none" w:sz="0" w:space="0" w:color="auto"/>
            <w:right w:val="none" w:sz="0" w:space="0" w:color="auto"/>
          </w:divBdr>
        </w:div>
        <w:div w:id="2069112565">
          <w:marLeft w:val="274"/>
          <w:marRight w:val="0"/>
          <w:marTop w:val="120"/>
          <w:marBottom w:val="120"/>
          <w:divBdr>
            <w:top w:val="none" w:sz="0" w:space="0" w:color="auto"/>
            <w:left w:val="none" w:sz="0" w:space="0" w:color="auto"/>
            <w:bottom w:val="none" w:sz="0" w:space="0" w:color="auto"/>
            <w:right w:val="none" w:sz="0" w:space="0" w:color="auto"/>
          </w:divBdr>
        </w:div>
      </w:divsChild>
    </w:div>
    <w:div w:id="1804545191">
      <w:bodyDiv w:val="1"/>
      <w:marLeft w:val="0"/>
      <w:marRight w:val="0"/>
      <w:marTop w:val="0"/>
      <w:marBottom w:val="0"/>
      <w:divBdr>
        <w:top w:val="none" w:sz="0" w:space="0" w:color="auto"/>
        <w:left w:val="none" w:sz="0" w:space="0" w:color="auto"/>
        <w:bottom w:val="none" w:sz="0" w:space="0" w:color="auto"/>
        <w:right w:val="none" w:sz="0" w:space="0" w:color="auto"/>
      </w:divBdr>
    </w:div>
    <w:div w:id="1903367050">
      <w:bodyDiv w:val="1"/>
      <w:marLeft w:val="0"/>
      <w:marRight w:val="0"/>
      <w:marTop w:val="0"/>
      <w:marBottom w:val="0"/>
      <w:divBdr>
        <w:top w:val="none" w:sz="0" w:space="0" w:color="auto"/>
        <w:left w:val="none" w:sz="0" w:space="0" w:color="auto"/>
        <w:bottom w:val="none" w:sz="0" w:space="0" w:color="auto"/>
        <w:right w:val="none" w:sz="0" w:space="0" w:color="auto"/>
      </w:divBdr>
    </w:div>
    <w:div w:id="1916284915">
      <w:bodyDiv w:val="1"/>
      <w:marLeft w:val="0"/>
      <w:marRight w:val="0"/>
      <w:marTop w:val="0"/>
      <w:marBottom w:val="0"/>
      <w:divBdr>
        <w:top w:val="none" w:sz="0" w:space="0" w:color="auto"/>
        <w:left w:val="none" w:sz="0" w:space="0" w:color="auto"/>
        <w:bottom w:val="none" w:sz="0" w:space="0" w:color="auto"/>
        <w:right w:val="none" w:sz="0" w:space="0" w:color="auto"/>
      </w:divBdr>
      <w:divsChild>
        <w:div w:id="1411391293">
          <w:marLeft w:val="547"/>
          <w:marRight w:val="0"/>
          <w:marTop w:val="0"/>
          <w:marBottom w:val="0"/>
          <w:divBdr>
            <w:top w:val="none" w:sz="0" w:space="0" w:color="auto"/>
            <w:left w:val="none" w:sz="0" w:space="0" w:color="auto"/>
            <w:bottom w:val="none" w:sz="0" w:space="0" w:color="auto"/>
            <w:right w:val="none" w:sz="0" w:space="0" w:color="auto"/>
          </w:divBdr>
        </w:div>
        <w:div w:id="1504710063">
          <w:marLeft w:val="547"/>
          <w:marRight w:val="0"/>
          <w:marTop w:val="0"/>
          <w:marBottom w:val="0"/>
          <w:divBdr>
            <w:top w:val="none" w:sz="0" w:space="0" w:color="auto"/>
            <w:left w:val="none" w:sz="0" w:space="0" w:color="auto"/>
            <w:bottom w:val="none" w:sz="0" w:space="0" w:color="auto"/>
            <w:right w:val="none" w:sz="0" w:space="0" w:color="auto"/>
          </w:divBdr>
        </w:div>
      </w:divsChild>
    </w:div>
    <w:div w:id="2048866952">
      <w:bodyDiv w:val="1"/>
      <w:marLeft w:val="0"/>
      <w:marRight w:val="0"/>
      <w:marTop w:val="0"/>
      <w:marBottom w:val="0"/>
      <w:divBdr>
        <w:top w:val="none" w:sz="0" w:space="0" w:color="auto"/>
        <w:left w:val="none" w:sz="0" w:space="0" w:color="auto"/>
        <w:bottom w:val="none" w:sz="0" w:space="0" w:color="auto"/>
        <w:right w:val="none" w:sz="0" w:space="0" w:color="auto"/>
      </w:divBdr>
      <w:divsChild>
        <w:div w:id="563611088">
          <w:marLeft w:val="274"/>
          <w:marRight w:val="0"/>
          <w:marTop w:val="120"/>
          <w:marBottom w:val="120"/>
          <w:divBdr>
            <w:top w:val="none" w:sz="0" w:space="0" w:color="auto"/>
            <w:left w:val="none" w:sz="0" w:space="0" w:color="auto"/>
            <w:bottom w:val="none" w:sz="0" w:space="0" w:color="auto"/>
            <w:right w:val="none" w:sz="0" w:space="0" w:color="auto"/>
          </w:divBdr>
        </w:div>
        <w:div w:id="810828651">
          <w:marLeft w:val="274"/>
          <w:marRight w:val="0"/>
          <w:marTop w:val="120"/>
          <w:marBottom w:val="120"/>
          <w:divBdr>
            <w:top w:val="none" w:sz="0" w:space="0" w:color="auto"/>
            <w:left w:val="none" w:sz="0" w:space="0" w:color="auto"/>
            <w:bottom w:val="none" w:sz="0" w:space="0" w:color="auto"/>
            <w:right w:val="none" w:sz="0" w:space="0" w:color="auto"/>
          </w:divBdr>
        </w:div>
        <w:div w:id="1462920204">
          <w:marLeft w:val="274"/>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Investec">
      <a:dk1>
        <a:srgbClr val="08204B"/>
      </a:dk1>
      <a:lt1>
        <a:srgbClr val="FFFFFF"/>
      </a:lt1>
      <a:dk2>
        <a:srgbClr val="44546A"/>
      </a:dk2>
      <a:lt2>
        <a:srgbClr val="E7E6E6"/>
      </a:lt2>
      <a:accent1>
        <a:srgbClr val="5890D6"/>
      </a:accent1>
      <a:accent2>
        <a:srgbClr val="05142F"/>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8F060-430B-40C4-8F29-B76597180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831</Words>
  <Characters>4741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Investec Bank PLC</Company>
  <LinksUpToDate>false</LinksUpToDate>
  <CharactersWithSpaces>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Investec</dc:creator>
  <cp:keywords/>
  <dc:description/>
  <cp:lastModifiedBy>Adam Jessup</cp:lastModifiedBy>
  <cp:revision>2</cp:revision>
  <cp:lastPrinted>2020-01-06T15:35:00Z</cp:lastPrinted>
  <dcterms:created xsi:type="dcterms:W3CDTF">2020-10-02T12:28:00Z</dcterms:created>
  <dcterms:modified xsi:type="dcterms:W3CDTF">2020-10-02T12:28:00Z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8a70db-6353-4723-9645-3c298b95df56_Enabled">
    <vt:lpwstr>True</vt:lpwstr>
  </property>
  <property fmtid="{D5CDD505-2E9C-101B-9397-08002B2CF9AE}" pid="3" name="MSIP_Label_eb8a70db-6353-4723-9645-3c298b95df56_SiteId">
    <vt:lpwstr>6d6a11bc-469a-48df-a548-d3f353ac1be8</vt:lpwstr>
  </property>
  <property fmtid="{D5CDD505-2E9C-101B-9397-08002B2CF9AE}" pid="4" name="MSIP_Label_eb8a70db-6353-4723-9645-3c298b95df56_SetDate">
    <vt:lpwstr>2019-02-08T12:37:30.2533714Z</vt:lpwstr>
  </property>
  <property fmtid="{D5CDD505-2E9C-101B-9397-08002B2CF9AE}" pid="5" name="MSIP_Label_eb8a70db-6353-4723-9645-3c298b95df56_Name">
    <vt:lpwstr>Investec Sensitive</vt:lpwstr>
  </property>
  <property fmtid="{D5CDD505-2E9C-101B-9397-08002B2CF9AE}" pid="6" name="MSIP_Label_eb8a70db-6353-4723-9645-3c298b95df56_Extended_MSFT_Method">
    <vt:lpwstr>Manual</vt:lpwstr>
  </property>
  <property fmtid="{D5CDD505-2E9C-101B-9397-08002B2CF9AE}" pid="7" name="Sensitivity">
    <vt:lpwstr>Investec Sensitive</vt:lpwstr>
  </property>
</Properties>
</file>