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0ED" w:rsidRPr="009F697E" w:rsidRDefault="006B7BEE" w:rsidP="00BA4F83">
      <w:pPr>
        <w:autoSpaceDE w:val="0"/>
        <w:autoSpaceDN w:val="0"/>
        <w:adjustRightInd w:val="0"/>
        <w:spacing w:after="240" w:line="240" w:lineRule="exact"/>
        <w:jc w:val="center"/>
        <w:rPr>
          <w:rFonts w:cs="Arial"/>
          <w:b/>
          <w:bCs/>
          <w:color w:val="00B0D9"/>
          <w:sz w:val="28"/>
          <w:szCs w:val="28"/>
          <w:u w:val="single"/>
          <w:lang w:val="en-GB" w:eastAsia="en-GB"/>
        </w:rPr>
      </w:pPr>
      <w:bookmarkStart w:id="0" w:name="_GoBack"/>
      <w:bookmarkEnd w:id="0"/>
      <w:r>
        <w:rPr>
          <w:rFonts w:cs="Arial"/>
          <w:b/>
          <w:bCs/>
          <w:color w:val="00B0D9"/>
          <w:sz w:val="28"/>
          <w:szCs w:val="28"/>
          <w:u w:val="single"/>
          <w:lang w:val="en-GB" w:eastAsia="en-GB"/>
        </w:rPr>
        <w:t>RTS 28 – Quality of Execution Annual Report</w:t>
      </w:r>
      <w:r w:rsidR="00425203">
        <w:rPr>
          <w:rFonts w:cs="Arial"/>
          <w:b/>
          <w:bCs/>
          <w:color w:val="00B0D9"/>
          <w:sz w:val="28"/>
          <w:szCs w:val="28"/>
          <w:u w:val="single"/>
          <w:lang w:val="en-GB" w:eastAsia="en-GB"/>
        </w:rPr>
        <w:t xml:space="preserve"> 2019</w:t>
      </w:r>
    </w:p>
    <w:tbl>
      <w:tblPr>
        <w:tblStyle w:val="TableGrid"/>
        <w:tblW w:w="10348" w:type="dxa"/>
        <w:tblInd w:w="-147" w:type="dxa"/>
        <w:shd w:val="clear" w:color="auto" w:fill="95B3D7" w:themeFill="accent1" w:themeFillTint="99"/>
        <w:tblLook w:val="04A0" w:firstRow="1" w:lastRow="0" w:firstColumn="1" w:lastColumn="0" w:noHBand="0" w:noVBand="1"/>
      </w:tblPr>
      <w:tblGrid>
        <w:gridCol w:w="3828"/>
        <w:gridCol w:w="6520"/>
      </w:tblGrid>
      <w:tr w:rsidR="00612FC7" w:rsidRPr="003E20ED" w:rsidTr="00BA4F83">
        <w:trPr>
          <w:trHeight w:val="821"/>
        </w:trPr>
        <w:tc>
          <w:tcPr>
            <w:tcW w:w="10348" w:type="dxa"/>
            <w:gridSpan w:val="2"/>
            <w:shd w:val="clear" w:color="auto" w:fill="C6D9F1" w:themeFill="text2" w:themeFillTint="33"/>
            <w:hideMark/>
          </w:tcPr>
          <w:p w:rsidR="003E20ED" w:rsidRPr="00612FC7" w:rsidRDefault="003E20ED" w:rsidP="003E20ED">
            <w:pPr>
              <w:autoSpaceDE w:val="0"/>
              <w:autoSpaceDN w:val="0"/>
              <w:adjustRightInd w:val="0"/>
              <w:jc w:val="center"/>
              <w:rPr>
                <w:rFonts w:asciiTheme="minorHAnsi" w:hAnsiTheme="minorHAnsi" w:cs="Arial"/>
                <w:b/>
                <w:bCs/>
                <w:color w:val="000000"/>
                <w:sz w:val="24"/>
                <w:szCs w:val="24"/>
                <w:u w:val="single"/>
                <w:lang w:eastAsia="en-GB"/>
              </w:rPr>
            </w:pPr>
          </w:p>
          <w:p w:rsidR="003E20ED" w:rsidRPr="003E20ED" w:rsidRDefault="006B7BEE" w:rsidP="00BA4F83">
            <w:pPr>
              <w:autoSpaceDE w:val="0"/>
              <w:autoSpaceDN w:val="0"/>
              <w:adjustRightInd w:val="0"/>
              <w:jc w:val="center"/>
              <w:rPr>
                <w:rFonts w:cs="Arial"/>
                <w:b/>
                <w:bCs/>
                <w:color w:val="000000"/>
                <w:lang w:val="en-GB" w:eastAsia="en-GB"/>
              </w:rPr>
            </w:pPr>
            <w:r>
              <w:rPr>
                <w:rFonts w:asciiTheme="minorHAnsi" w:hAnsiTheme="minorHAnsi" w:cs="Arial"/>
                <w:b/>
                <w:bCs/>
                <w:color w:val="000000"/>
                <w:sz w:val="24"/>
                <w:szCs w:val="24"/>
                <w:lang w:eastAsia="en-GB"/>
              </w:rPr>
              <w:t>Equities – Shares and Depositary Receipts</w:t>
            </w:r>
          </w:p>
        </w:tc>
      </w:tr>
      <w:tr w:rsidR="00305F32" w:rsidRPr="003E20ED" w:rsidTr="006B7BEE">
        <w:trPr>
          <w:trHeight w:val="632"/>
        </w:trPr>
        <w:tc>
          <w:tcPr>
            <w:tcW w:w="3828" w:type="dxa"/>
            <w:shd w:val="clear" w:color="auto" w:fill="DBE5F1" w:themeFill="accent1" w:themeFillTint="33"/>
            <w:hideMark/>
          </w:tcPr>
          <w:p w:rsidR="003E20ED" w:rsidRDefault="003E20ED" w:rsidP="003E20ED">
            <w:pPr>
              <w:autoSpaceDE w:val="0"/>
              <w:autoSpaceDN w:val="0"/>
              <w:adjustRightInd w:val="0"/>
              <w:rPr>
                <w:rFonts w:cs="Arial"/>
                <w:b/>
                <w:bCs/>
                <w:color w:val="000000"/>
                <w:lang w:eastAsia="en-GB"/>
              </w:rPr>
            </w:pPr>
          </w:p>
          <w:p w:rsidR="003E20ED" w:rsidRPr="003E20ED" w:rsidRDefault="006B7BEE" w:rsidP="003E20ED">
            <w:pPr>
              <w:autoSpaceDE w:val="0"/>
              <w:autoSpaceDN w:val="0"/>
              <w:adjustRightInd w:val="0"/>
              <w:rPr>
                <w:rFonts w:cs="Arial"/>
                <w:b/>
                <w:bCs/>
                <w:color w:val="000000"/>
                <w:lang w:eastAsia="en-GB"/>
              </w:rPr>
            </w:pPr>
            <w:r>
              <w:rPr>
                <w:rFonts w:cs="Arial"/>
                <w:b/>
                <w:bCs/>
                <w:color w:val="000000"/>
                <w:lang w:eastAsia="en-GB"/>
              </w:rPr>
              <w:t>Criteria</w:t>
            </w:r>
          </w:p>
        </w:tc>
        <w:tc>
          <w:tcPr>
            <w:tcW w:w="6520" w:type="dxa"/>
            <w:shd w:val="clear" w:color="auto" w:fill="DBE5F1" w:themeFill="accent1" w:themeFillTint="33"/>
            <w:hideMark/>
          </w:tcPr>
          <w:p w:rsidR="003E20ED" w:rsidRDefault="003E20ED" w:rsidP="003E20ED">
            <w:pPr>
              <w:autoSpaceDE w:val="0"/>
              <w:autoSpaceDN w:val="0"/>
              <w:adjustRightInd w:val="0"/>
              <w:rPr>
                <w:rFonts w:cs="Arial"/>
                <w:b/>
                <w:bCs/>
                <w:color w:val="000000"/>
                <w:lang w:eastAsia="en-GB"/>
              </w:rPr>
            </w:pPr>
          </w:p>
          <w:p w:rsidR="003E20ED" w:rsidRPr="003E20ED" w:rsidRDefault="003E20ED" w:rsidP="003E20ED">
            <w:pPr>
              <w:autoSpaceDE w:val="0"/>
              <w:autoSpaceDN w:val="0"/>
              <w:adjustRightInd w:val="0"/>
              <w:rPr>
                <w:rFonts w:cs="Arial"/>
                <w:b/>
                <w:bCs/>
                <w:color w:val="000000"/>
                <w:lang w:eastAsia="en-GB"/>
              </w:rPr>
            </w:pPr>
            <w:r w:rsidRPr="003E20ED">
              <w:rPr>
                <w:rFonts w:cs="Arial"/>
                <w:b/>
                <w:bCs/>
                <w:color w:val="000000"/>
                <w:lang w:eastAsia="en-GB"/>
              </w:rPr>
              <w:t>Response</w:t>
            </w:r>
          </w:p>
        </w:tc>
      </w:tr>
      <w:tr w:rsidR="003E20ED" w:rsidRPr="003E20ED" w:rsidTr="006B7BEE">
        <w:trPr>
          <w:trHeight w:val="1035"/>
        </w:trPr>
        <w:tc>
          <w:tcPr>
            <w:tcW w:w="3828" w:type="dxa"/>
            <w:shd w:val="clear" w:color="auto" w:fill="FFFFFF" w:themeFill="background1"/>
            <w:hideMark/>
          </w:tcPr>
          <w:p w:rsidR="003E20ED" w:rsidRDefault="003E20ED" w:rsidP="003E20ED">
            <w:pPr>
              <w:autoSpaceDE w:val="0"/>
              <w:autoSpaceDN w:val="0"/>
              <w:adjustRightInd w:val="0"/>
              <w:rPr>
                <w:rFonts w:cs="Arial"/>
                <w:b/>
                <w:bCs/>
                <w:color w:val="000000"/>
                <w:lang w:eastAsia="en-GB"/>
              </w:rPr>
            </w:pPr>
          </w:p>
          <w:p w:rsidR="003E20ED" w:rsidRPr="003E20ED" w:rsidRDefault="006B7BEE" w:rsidP="006B7BEE">
            <w:pPr>
              <w:autoSpaceDE w:val="0"/>
              <w:autoSpaceDN w:val="0"/>
              <w:adjustRightInd w:val="0"/>
              <w:rPr>
                <w:rFonts w:cs="Arial"/>
                <w:color w:val="000000"/>
                <w:lang w:eastAsia="en-GB"/>
              </w:rPr>
            </w:pPr>
            <w:r>
              <w:rPr>
                <w:rFonts w:cs="Arial"/>
                <w:b/>
                <w:bCs/>
                <w:color w:val="000000"/>
                <w:lang w:eastAsia="en-GB"/>
              </w:rPr>
              <w:t xml:space="preserve">a) </w:t>
            </w:r>
            <w:r w:rsidRPr="006B7BEE">
              <w:rPr>
                <w:rFonts w:cs="Arial"/>
                <w:b/>
                <w:bCs/>
                <w:color w:val="000000"/>
                <w:lang w:eastAsia="en-GB"/>
              </w:rPr>
              <w:t>an explanation of the relative importance the firm gave to the execution factors</w:t>
            </w:r>
            <w:r>
              <w:rPr>
                <w:rFonts w:cs="Arial"/>
                <w:b/>
                <w:bCs/>
                <w:color w:val="000000"/>
                <w:lang w:eastAsia="en-GB"/>
              </w:rPr>
              <w:t xml:space="preserve"> </w:t>
            </w:r>
            <w:r w:rsidRPr="006B7BEE">
              <w:rPr>
                <w:rFonts w:cs="Arial"/>
                <w:b/>
                <w:bCs/>
                <w:color w:val="000000"/>
                <w:lang w:eastAsia="en-GB"/>
              </w:rPr>
              <w:t>of price, costs, speed, likelihood of execution or any other consideration</w:t>
            </w:r>
            <w:r>
              <w:rPr>
                <w:rFonts w:cs="Arial"/>
                <w:b/>
                <w:bCs/>
                <w:color w:val="000000"/>
                <w:lang w:eastAsia="en-GB"/>
              </w:rPr>
              <w:t xml:space="preserve"> </w:t>
            </w:r>
            <w:r w:rsidRPr="006B7BEE">
              <w:rPr>
                <w:rFonts w:cs="Arial"/>
                <w:b/>
                <w:bCs/>
                <w:color w:val="000000"/>
                <w:lang w:eastAsia="en-GB"/>
              </w:rPr>
              <w:t>including qualitative factors when assessing the quality of execution;</w:t>
            </w:r>
          </w:p>
        </w:tc>
        <w:tc>
          <w:tcPr>
            <w:tcW w:w="6520" w:type="dxa"/>
            <w:shd w:val="clear" w:color="auto" w:fill="FFFFFF" w:themeFill="background1"/>
            <w:hideMark/>
          </w:tcPr>
          <w:p w:rsidR="003E20ED" w:rsidRDefault="003E20ED" w:rsidP="003E20ED">
            <w:pPr>
              <w:autoSpaceDE w:val="0"/>
              <w:autoSpaceDN w:val="0"/>
              <w:adjustRightInd w:val="0"/>
              <w:rPr>
                <w:rFonts w:cs="Arial"/>
                <w:color w:val="000000"/>
                <w:lang w:eastAsia="en-GB"/>
              </w:rPr>
            </w:pPr>
            <w:r>
              <w:rPr>
                <w:rFonts w:cs="Arial"/>
                <w:color w:val="000000"/>
                <w:lang w:eastAsia="en-GB"/>
              </w:rPr>
              <w:t xml:space="preserve"> </w:t>
            </w:r>
          </w:p>
          <w:p w:rsidR="00D507BD" w:rsidRDefault="00D507BD" w:rsidP="00D507BD">
            <w:pPr>
              <w:autoSpaceDE w:val="0"/>
              <w:autoSpaceDN w:val="0"/>
              <w:adjustRightInd w:val="0"/>
              <w:rPr>
                <w:rFonts w:cs="Arial"/>
                <w:color w:val="000000"/>
              </w:rPr>
            </w:pPr>
            <w:r>
              <w:rPr>
                <w:rFonts w:cs="Arial"/>
                <w:color w:val="000000"/>
              </w:rPr>
              <w:t>Investec Bank plc (“IBP”) will assess the relative importance of each execution factor in light of the characteristics of the client, order and financial instrument in question.</w:t>
            </w:r>
          </w:p>
          <w:p w:rsidR="00D507BD" w:rsidRDefault="00D507BD" w:rsidP="00D507BD">
            <w:pPr>
              <w:autoSpaceDE w:val="0"/>
              <w:autoSpaceDN w:val="0"/>
              <w:adjustRightInd w:val="0"/>
              <w:rPr>
                <w:rFonts w:cs="Arial"/>
                <w:color w:val="000000"/>
              </w:rPr>
            </w:pPr>
          </w:p>
          <w:p w:rsidR="003E20ED" w:rsidRPr="00D507BD" w:rsidRDefault="00D507BD" w:rsidP="00D507BD">
            <w:pPr>
              <w:autoSpaceDE w:val="0"/>
              <w:autoSpaceDN w:val="0"/>
              <w:adjustRightInd w:val="0"/>
              <w:rPr>
                <w:rFonts w:cs="Arial"/>
                <w:color w:val="000000"/>
              </w:rPr>
            </w:pPr>
            <w:r>
              <w:rPr>
                <w:rFonts w:cs="Arial"/>
                <w:color w:val="000000"/>
              </w:rPr>
              <w:t>In general terms, u</w:t>
            </w:r>
            <w:r w:rsidRPr="00D507BD">
              <w:rPr>
                <w:rFonts w:cs="Arial"/>
                <w:color w:val="000000"/>
              </w:rPr>
              <w:t>nless otherwise requested by the client, price and likelihood of execution are ranked as the most important execution factors for all equity transactions.  The remaining execution factors – cost, speed, order size, nature of the order and any other consideration relevant to the efficient execution of the client’s order – will generally be given equal ranking.</w:t>
            </w:r>
          </w:p>
        </w:tc>
      </w:tr>
      <w:tr w:rsidR="003E20ED" w:rsidRPr="003E20ED" w:rsidTr="006B7BEE">
        <w:trPr>
          <w:trHeight w:val="960"/>
        </w:trPr>
        <w:tc>
          <w:tcPr>
            <w:tcW w:w="3828" w:type="dxa"/>
            <w:shd w:val="clear" w:color="auto" w:fill="FFFFFF" w:themeFill="background1"/>
            <w:hideMark/>
          </w:tcPr>
          <w:p w:rsidR="003E20ED" w:rsidRPr="003E20ED" w:rsidRDefault="006B7BEE" w:rsidP="00D507BD">
            <w:pPr>
              <w:autoSpaceDE w:val="0"/>
              <w:autoSpaceDN w:val="0"/>
              <w:adjustRightInd w:val="0"/>
              <w:rPr>
                <w:rFonts w:cs="Arial"/>
                <w:color w:val="000000"/>
                <w:lang w:eastAsia="en-GB"/>
              </w:rPr>
            </w:pPr>
            <w:r>
              <w:rPr>
                <w:rFonts w:cs="Arial"/>
                <w:b/>
                <w:bCs/>
                <w:color w:val="000000"/>
                <w:lang w:eastAsia="en-GB"/>
              </w:rPr>
              <w:t xml:space="preserve">b) </w:t>
            </w:r>
            <w:r w:rsidRPr="006B7BEE">
              <w:rPr>
                <w:rFonts w:cs="Arial"/>
                <w:b/>
                <w:bCs/>
                <w:color w:val="000000"/>
                <w:lang w:eastAsia="en-GB"/>
              </w:rPr>
              <w:t>a description of any close links, conflicts of interests, and common ownerships</w:t>
            </w:r>
            <w:r w:rsidR="00D507BD">
              <w:rPr>
                <w:rFonts w:cs="Arial"/>
                <w:b/>
                <w:bCs/>
                <w:color w:val="000000"/>
                <w:lang w:eastAsia="en-GB"/>
              </w:rPr>
              <w:t xml:space="preserve"> </w:t>
            </w:r>
            <w:r w:rsidRPr="006B7BEE">
              <w:rPr>
                <w:rFonts w:cs="Arial"/>
                <w:b/>
                <w:bCs/>
                <w:color w:val="000000"/>
                <w:lang w:eastAsia="en-GB"/>
              </w:rPr>
              <w:t>with respect to any execution venues used to execute orders;</w:t>
            </w:r>
          </w:p>
        </w:tc>
        <w:tc>
          <w:tcPr>
            <w:tcW w:w="6520" w:type="dxa"/>
            <w:shd w:val="clear" w:color="auto" w:fill="FFFFFF" w:themeFill="background1"/>
            <w:hideMark/>
          </w:tcPr>
          <w:p w:rsidR="003E20ED" w:rsidRDefault="003E20ED" w:rsidP="003E20ED">
            <w:pPr>
              <w:autoSpaceDE w:val="0"/>
              <w:autoSpaceDN w:val="0"/>
              <w:adjustRightInd w:val="0"/>
              <w:rPr>
                <w:rFonts w:cs="Arial"/>
                <w:color w:val="000000"/>
                <w:lang w:eastAsia="en-GB"/>
              </w:rPr>
            </w:pPr>
            <w:r>
              <w:rPr>
                <w:rFonts w:cs="Arial"/>
                <w:color w:val="000000"/>
                <w:lang w:eastAsia="en-GB"/>
              </w:rPr>
              <w:t xml:space="preserve"> </w:t>
            </w:r>
          </w:p>
          <w:p w:rsidR="003E20ED" w:rsidRPr="00D507BD" w:rsidRDefault="00D507BD" w:rsidP="00D507BD">
            <w:pPr>
              <w:autoSpaceDE w:val="0"/>
              <w:autoSpaceDN w:val="0"/>
              <w:adjustRightInd w:val="0"/>
              <w:rPr>
                <w:rFonts w:cs="Arial"/>
                <w:color w:val="000000"/>
              </w:rPr>
            </w:pPr>
            <w:r>
              <w:rPr>
                <w:rFonts w:cs="Arial"/>
                <w:color w:val="000000"/>
              </w:rPr>
              <w:t>IBP has no close links or other conflicts of interest with respect of any execution venues used to execute orders.</w:t>
            </w:r>
          </w:p>
        </w:tc>
      </w:tr>
      <w:tr w:rsidR="00612FC7" w:rsidRPr="003E20ED" w:rsidTr="006B7BEE">
        <w:trPr>
          <w:trHeight w:val="812"/>
        </w:trPr>
        <w:tc>
          <w:tcPr>
            <w:tcW w:w="3828" w:type="dxa"/>
            <w:shd w:val="clear" w:color="auto" w:fill="FFFFFF" w:themeFill="background1"/>
            <w:hideMark/>
          </w:tcPr>
          <w:p w:rsidR="003E20ED" w:rsidRPr="003E20ED" w:rsidRDefault="006B7BEE" w:rsidP="00D507BD">
            <w:pPr>
              <w:autoSpaceDE w:val="0"/>
              <w:autoSpaceDN w:val="0"/>
              <w:adjustRightInd w:val="0"/>
              <w:rPr>
                <w:rFonts w:cs="Arial"/>
                <w:color w:val="000000"/>
                <w:lang w:eastAsia="en-GB"/>
              </w:rPr>
            </w:pPr>
            <w:r>
              <w:rPr>
                <w:rFonts w:cs="Arial"/>
                <w:b/>
                <w:bCs/>
                <w:color w:val="000000"/>
                <w:lang w:eastAsia="en-GB"/>
              </w:rPr>
              <w:t xml:space="preserve">c) </w:t>
            </w:r>
            <w:r w:rsidRPr="006B7BEE">
              <w:rPr>
                <w:rFonts w:cs="Arial"/>
                <w:b/>
                <w:bCs/>
                <w:color w:val="000000"/>
                <w:lang w:eastAsia="en-GB"/>
              </w:rPr>
              <w:t>a description of any specific arrangements with any execution venues regarding</w:t>
            </w:r>
            <w:r w:rsidR="00D507BD">
              <w:rPr>
                <w:rFonts w:cs="Arial"/>
                <w:b/>
                <w:bCs/>
                <w:color w:val="000000"/>
                <w:lang w:eastAsia="en-GB"/>
              </w:rPr>
              <w:t xml:space="preserve"> </w:t>
            </w:r>
            <w:r w:rsidRPr="006B7BEE">
              <w:rPr>
                <w:rFonts w:cs="Arial"/>
                <w:b/>
                <w:bCs/>
                <w:color w:val="000000"/>
                <w:lang w:eastAsia="en-GB"/>
              </w:rPr>
              <w:t>payments made or received, discounts, rebates or non-monetary benefits</w:t>
            </w:r>
            <w:r w:rsidR="00D507BD">
              <w:rPr>
                <w:rFonts w:cs="Arial"/>
                <w:b/>
                <w:bCs/>
                <w:color w:val="000000"/>
                <w:lang w:eastAsia="en-GB"/>
              </w:rPr>
              <w:t xml:space="preserve"> </w:t>
            </w:r>
            <w:r w:rsidRPr="006B7BEE">
              <w:rPr>
                <w:rFonts w:cs="Arial"/>
                <w:b/>
                <w:bCs/>
                <w:color w:val="000000"/>
                <w:lang w:eastAsia="en-GB"/>
              </w:rPr>
              <w:t>received;</w:t>
            </w:r>
          </w:p>
        </w:tc>
        <w:tc>
          <w:tcPr>
            <w:tcW w:w="6520" w:type="dxa"/>
            <w:shd w:val="clear" w:color="auto" w:fill="FFFFFF" w:themeFill="background1"/>
            <w:hideMark/>
          </w:tcPr>
          <w:p w:rsidR="00305F32" w:rsidRDefault="00305F32" w:rsidP="00305F32">
            <w:pPr>
              <w:autoSpaceDE w:val="0"/>
              <w:autoSpaceDN w:val="0"/>
              <w:adjustRightInd w:val="0"/>
              <w:ind w:left="360"/>
              <w:rPr>
                <w:rFonts w:cs="Arial"/>
                <w:color w:val="000000"/>
              </w:rPr>
            </w:pPr>
          </w:p>
          <w:p w:rsidR="003E20ED" w:rsidRPr="00D507BD" w:rsidRDefault="00D507BD" w:rsidP="00D507BD">
            <w:pPr>
              <w:autoSpaceDE w:val="0"/>
              <w:autoSpaceDN w:val="0"/>
              <w:adjustRightInd w:val="0"/>
              <w:rPr>
                <w:rFonts w:cs="Arial"/>
                <w:color w:val="000000"/>
              </w:rPr>
            </w:pPr>
            <w:r>
              <w:rPr>
                <w:rFonts w:cs="Arial"/>
                <w:color w:val="000000"/>
              </w:rPr>
              <w:t>IBP has no such arrangements in place with any execution venues.</w:t>
            </w:r>
          </w:p>
        </w:tc>
      </w:tr>
      <w:tr w:rsidR="003E20ED" w:rsidRPr="003E20ED" w:rsidTr="00680004">
        <w:trPr>
          <w:trHeight w:val="1121"/>
        </w:trPr>
        <w:tc>
          <w:tcPr>
            <w:tcW w:w="3828" w:type="dxa"/>
            <w:shd w:val="clear" w:color="auto" w:fill="FFFFFF" w:themeFill="background1"/>
            <w:hideMark/>
          </w:tcPr>
          <w:p w:rsidR="003E20ED" w:rsidRPr="003E20ED" w:rsidRDefault="006B7BEE" w:rsidP="006B7BEE">
            <w:pPr>
              <w:autoSpaceDE w:val="0"/>
              <w:autoSpaceDN w:val="0"/>
              <w:adjustRightInd w:val="0"/>
              <w:rPr>
                <w:rFonts w:cs="Arial"/>
                <w:b/>
                <w:bCs/>
                <w:color w:val="000000"/>
                <w:lang w:eastAsia="en-GB"/>
              </w:rPr>
            </w:pPr>
            <w:r>
              <w:rPr>
                <w:rFonts w:cs="Arial"/>
                <w:b/>
                <w:bCs/>
                <w:color w:val="000000"/>
                <w:lang w:eastAsia="en-GB"/>
              </w:rPr>
              <w:t xml:space="preserve">d) </w:t>
            </w:r>
            <w:r w:rsidRPr="006B7BEE">
              <w:rPr>
                <w:rFonts w:cs="Arial"/>
                <w:b/>
                <w:bCs/>
                <w:color w:val="000000"/>
                <w:lang w:eastAsia="en-GB"/>
              </w:rPr>
              <w:t>an explanation of the factors that led to a change in the list of execution venues</w:t>
            </w:r>
            <w:r>
              <w:rPr>
                <w:rFonts w:cs="Arial"/>
                <w:b/>
                <w:bCs/>
                <w:color w:val="000000"/>
                <w:lang w:eastAsia="en-GB"/>
              </w:rPr>
              <w:t xml:space="preserve"> </w:t>
            </w:r>
            <w:r w:rsidRPr="006B7BEE">
              <w:rPr>
                <w:rFonts w:cs="Arial"/>
                <w:b/>
                <w:bCs/>
                <w:color w:val="000000"/>
                <w:lang w:eastAsia="en-GB"/>
              </w:rPr>
              <w:t>listed in the firm’s execution policy, if such a change occurred;</w:t>
            </w:r>
          </w:p>
        </w:tc>
        <w:tc>
          <w:tcPr>
            <w:tcW w:w="6520" w:type="dxa"/>
            <w:shd w:val="clear" w:color="auto" w:fill="FFFFFF" w:themeFill="background1"/>
            <w:hideMark/>
          </w:tcPr>
          <w:p w:rsidR="00D507BD" w:rsidRDefault="00D507BD" w:rsidP="00D507BD">
            <w:pPr>
              <w:autoSpaceDE w:val="0"/>
              <w:autoSpaceDN w:val="0"/>
              <w:adjustRightInd w:val="0"/>
              <w:rPr>
                <w:rFonts w:cs="Arial"/>
                <w:color w:val="000000"/>
                <w:lang w:eastAsia="en-GB"/>
              </w:rPr>
            </w:pPr>
          </w:p>
          <w:p w:rsidR="003E20ED" w:rsidRPr="00305F32" w:rsidRDefault="00154447" w:rsidP="00285E54">
            <w:pPr>
              <w:autoSpaceDE w:val="0"/>
              <w:autoSpaceDN w:val="0"/>
              <w:adjustRightInd w:val="0"/>
              <w:rPr>
                <w:rFonts w:cs="Arial"/>
                <w:color w:val="000000"/>
              </w:rPr>
            </w:pPr>
            <w:r>
              <w:rPr>
                <w:rFonts w:cs="Arial"/>
                <w:color w:val="000000"/>
                <w:lang w:eastAsia="en-GB"/>
              </w:rPr>
              <w:t>Aquis Exchange</w:t>
            </w:r>
            <w:r w:rsidR="001C0AA8">
              <w:rPr>
                <w:rFonts w:cs="Arial"/>
                <w:color w:val="000000"/>
                <w:lang w:eastAsia="en-GB"/>
              </w:rPr>
              <w:t xml:space="preserve"> has been </w:t>
            </w:r>
            <w:r>
              <w:rPr>
                <w:rFonts w:cs="Arial"/>
                <w:color w:val="000000"/>
                <w:lang w:eastAsia="en-GB"/>
              </w:rPr>
              <w:t xml:space="preserve">added to IBP’s list of execution venues as it </w:t>
            </w:r>
            <w:r w:rsidR="001C0AA8">
              <w:rPr>
                <w:rFonts w:cs="Arial"/>
                <w:color w:val="000000"/>
                <w:lang w:eastAsia="en-GB"/>
              </w:rPr>
              <w:t xml:space="preserve">has grown to become a valuable </w:t>
            </w:r>
            <w:r>
              <w:rPr>
                <w:rFonts w:cs="Arial"/>
                <w:color w:val="000000"/>
                <w:lang w:eastAsia="en-GB"/>
              </w:rPr>
              <w:t>pool of liquidity</w:t>
            </w:r>
            <w:r w:rsidR="001C0AA8">
              <w:rPr>
                <w:rFonts w:cs="Arial"/>
                <w:color w:val="000000"/>
                <w:lang w:eastAsia="en-GB"/>
              </w:rPr>
              <w:t>.</w:t>
            </w:r>
          </w:p>
        </w:tc>
      </w:tr>
      <w:tr w:rsidR="003E20ED" w:rsidRPr="003E20ED" w:rsidTr="00D507BD">
        <w:trPr>
          <w:trHeight w:val="841"/>
        </w:trPr>
        <w:tc>
          <w:tcPr>
            <w:tcW w:w="3828" w:type="dxa"/>
            <w:shd w:val="clear" w:color="auto" w:fill="FFFFFF" w:themeFill="background1"/>
            <w:hideMark/>
          </w:tcPr>
          <w:p w:rsidR="003E20ED" w:rsidRPr="003E20ED" w:rsidRDefault="006B7BEE" w:rsidP="006B7BEE">
            <w:pPr>
              <w:autoSpaceDE w:val="0"/>
              <w:autoSpaceDN w:val="0"/>
              <w:adjustRightInd w:val="0"/>
              <w:rPr>
                <w:rFonts w:cs="Arial"/>
                <w:b/>
                <w:bCs/>
                <w:color w:val="000000"/>
                <w:lang w:eastAsia="en-GB"/>
              </w:rPr>
            </w:pPr>
            <w:r>
              <w:rPr>
                <w:rFonts w:cs="Arial"/>
                <w:b/>
                <w:bCs/>
                <w:color w:val="000000"/>
                <w:lang w:eastAsia="en-GB"/>
              </w:rPr>
              <w:t xml:space="preserve">e) </w:t>
            </w:r>
            <w:r w:rsidRPr="006B7BEE">
              <w:rPr>
                <w:rFonts w:cs="Arial"/>
                <w:b/>
                <w:bCs/>
                <w:color w:val="000000"/>
                <w:lang w:eastAsia="en-GB"/>
              </w:rPr>
              <w:t>an explanation of how order execution differs according to client</w:t>
            </w:r>
            <w:r>
              <w:rPr>
                <w:rFonts w:cs="Arial"/>
                <w:b/>
                <w:bCs/>
                <w:color w:val="000000"/>
                <w:lang w:eastAsia="en-GB"/>
              </w:rPr>
              <w:t xml:space="preserve"> </w:t>
            </w:r>
            <w:r w:rsidRPr="006B7BEE">
              <w:rPr>
                <w:rFonts w:cs="Arial"/>
                <w:b/>
                <w:bCs/>
                <w:color w:val="000000"/>
                <w:lang w:eastAsia="en-GB"/>
              </w:rPr>
              <w:t>categorisation, where the firm treats categories of clients differently and where</w:t>
            </w:r>
            <w:r>
              <w:rPr>
                <w:rFonts w:cs="Arial"/>
                <w:b/>
                <w:bCs/>
                <w:color w:val="000000"/>
                <w:lang w:eastAsia="en-GB"/>
              </w:rPr>
              <w:t xml:space="preserve"> </w:t>
            </w:r>
            <w:r w:rsidRPr="006B7BEE">
              <w:rPr>
                <w:rFonts w:cs="Arial"/>
                <w:b/>
                <w:bCs/>
                <w:color w:val="000000"/>
                <w:lang w:eastAsia="en-GB"/>
              </w:rPr>
              <w:t>it may affect the order execution arrangements;</w:t>
            </w:r>
          </w:p>
        </w:tc>
        <w:tc>
          <w:tcPr>
            <w:tcW w:w="6520" w:type="dxa"/>
            <w:shd w:val="clear" w:color="auto" w:fill="FFFFFF" w:themeFill="background1"/>
            <w:hideMark/>
          </w:tcPr>
          <w:p w:rsidR="00D507BD" w:rsidRDefault="00D507BD" w:rsidP="00D507BD">
            <w:pPr>
              <w:autoSpaceDE w:val="0"/>
              <w:autoSpaceDN w:val="0"/>
              <w:adjustRightInd w:val="0"/>
              <w:rPr>
                <w:rFonts w:cs="Arial"/>
                <w:color w:val="000000"/>
                <w:lang w:eastAsia="en-GB"/>
              </w:rPr>
            </w:pPr>
            <w:r w:rsidRPr="00D507BD">
              <w:rPr>
                <w:rFonts w:cs="Arial"/>
                <w:color w:val="000000"/>
                <w:lang w:eastAsia="en-GB"/>
              </w:rPr>
              <w:t xml:space="preserve">IBP will assess whether it is acting “on behalf of the client” when executing an order and must consider whether the client is legitimately relying on IBP to protect their interests in relation to pricing and other elements of the execution. </w:t>
            </w:r>
          </w:p>
          <w:p w:rsidR="00D507BD" w:rsidRPr="00D507BD" w:rsidRDefault="00D507BD" w:rsidP="00D507BD">
            <w:pPr>
              <w:autoSpaceDE w:val="0"/>
              <w:autoSpaceDN w:val="0"/>
              <w:adjustRightInd w:val="0"/>
              <w:rPr>
                <w:rFonts w:cs="Arial"/>
                <w:color w:val="000000"/>
                <w:lang w:eastAsia="en-GB"/>
              </w:rPr>
            </w:pPr>
          </w:p>
          <w:p w:rsidR="00D507BD" w:rsidRDefault="00D507BD" w:rsidP="00D507BD">
            <w:pPr>
              <w:autoSpaceDE w:val="0"/>
              <w:autoSpaceDN w:val="0"/>
              <w:adjustRightInd w:val="0"/>
              <w:rPr>
                <w:rFonts w:cs="Arial"/>
                <w:color w:val="000000"/>
                <w:lang w:eastAsia="en-GB"/>
              </w:rPr>
            </w:pPr>
            <w:r w:rsidRPr="00D507BD">
              <w:rPr>
                <w:rFonts w:cs="Arial"/>
                <w:color w:val="000000"/>
                <w:lang w:eastAsia="en-GB"/>
              </w:rPr>
              <w:t xml:space="preserve">For retail clients the presumption is that they will rely on IBP to protect their interests in relation to pricing and therefore best execution will always apply.  </w:t>
            </w:r>
          </w:p>
          <w:p w:rsidR="00D507BD" w:rsidRPr="00D507BD" w:rsidRDefault="00D507BD" w:rsidP="00D507BD">
            <w:pPr>
              <w:autoSpaceDE w:val="0"/>
              <w:autoSpaceDN w:val="0"/>
              <w:adjustRightInd w:val="0"/>
              <w:rPr>
                <w:rFonts w:cs="Arial"/>
                <w:color w:val="000000"/>
                <w:lang w:eastAsia="en-GB"/>
              </w:rPr>
            </w:pPr>
          </w:p>
          <w:p w:rsidR="003E20ED" w:rsidRPr="00D507BD" w:rsidRDefault="00D507BD" w:rsidP="00D507BD">
            <w:pPr>
              <w:autoSpaceDE w:val="0"/>
              <w:autoSpaceDN w:val="0"/>
              <w:adjustRightInd w:val="0"/>
              <w:rPr>
                <w:rFonts w:cs="Arial"/>
                <w:color w:val="000000"/>
              </w:rPr>
            </w:pPr>
            <w:r w:rsidRPr="00D507BD">
              <w:rPr>
                <w:rFonts w:cs="Arial"/>
                <w:color w:val="000000"/>
              </w:rPr>
              <w:t xml:space="preserve">For professional clients, the assumption is that they may not place reliance on IBP to achieve best execution.  Nevertheless, for all orders received from professional clients where IBP is required to exercise discretion in relation to the execution of the order, and the client is </w:t>
            </w:r>
            <w:r w:rsidRPr="00D507BD">
              <w:rPr>
                <w:rFonts w:cs="Arial"/>
                <w:color w:val="000000"/>
              </w:rPr>
              <w:lastRenderedPageBreak/>
              <w:t>legitimately relying on IBP in relation to the exercise of that discretion, then the best execution obligation will apply.</w:t>
            </w:r>
          </w:p>
        </w:tc>
      </w:tr>
      <w:tr w:rsidR="003E20ED" w:rsidRPr="003E20ED" w:rsidTr="006B7BEE">
        <w:trPr>
          <w:trHeight w:val="990"/>
        </w:trPr>
        <w:tc>
          <w:tcPr>
            <w:tcW w:w="3828" w:type="dxa"/>
            <w:shd w:val="clear" w:color="auto" w:fill="FFFFFF" w:themeFill="background1"/>
            <w:hideMark/>
          </w:tcPr>
          <w:p w:rsidR="003E20ED" w:rsidRPr="003E20ED" w:rsidRDefault="006B7BEE" w:rsidP="00D507BD">
            <w:pPr>
              <w:autoSpaceDE w:val="0"/>
              <w:autoSpaceDN w:val="0"/>
              <w:adjustRightInd w:val="0"/>
              <w:rPr>
                <w:rFonts w:cs="Arial"/>
                <w:b/>
                <w:bCs/>
                <w:color w:val="000000"/>
                <w:lang w:eastAsia="en-GB"/>
              </w:rPr>
            </w:pPr>
            <w:r>
              <w:rPr>
                <w:rFonts w:cs="Arial"/>
                <w:b/>
                <w:bCs/>
                <w:color w:val="000000"/>
                <w:lang w:eastAsia="en-GB"/>
              </w:rPr>
              <w:lastRenderedPageBreak/>
              <w:t xml:space="preserve">f) </w:t>
            </w:r>
            <w:r w:rsidRPr="006B7BEE">
              <w:rPr>
                <w:rFonts w:cs="Arial"/>
                <w:b/>
                <w:bCs/>
                <w:color w:val="000000"/>
                <w:lang w:eastAsia="en-GB"/>
              </w:rPr>
              <w:t>an explanation of whether other criteria were given precedence over immediate</w:t>
            </w:r>
            <w:r w:rsidR="00D507BD">
              <w:rPr>
                <w:rFonts w:cs="Arial"/>
                <w:b/>
                <w:bCs/>
                <w:color w:val="000000"/>
                <w:lang w:eastAsia="en-GB"/>
              </w:rPr>
              <w:t xml:space="preserve"> </w:t>
            </w:r>
            <w:r w:rsidRPr="006B7BEE">
              <w:rPr>
                <w:rFonts w:cs="Arial"/>
                <w:b/>
                <w:bCs/>
                <w:color w:val="000000"/>
                <w:lang w:eastAsia="en-GB"/>
              </w:rPr>
              <w:t>price and cost when executing retail client orders and how these other criteria</w:t>
            </w:r>
            <w:r>
              <w:rPr>
                <w:rFonts w:cs="Arial"/>
                <w:b/>
                <w:bCs/>
                <w:color w:val="000000"/>
                <w:lang w:eastAsia="en-GB"/>
              </w:rPr>
              <w:t xml:space="preserve"> </w:t>
            </w:r>
            <w:r w:rsidRPr="006B7BEE">
              <w:rPr>
                <w:rFonts w:cs="Arial"/>
                <w:b/>
                <w:bCs/>
                <w:color w:val="000000"/>
                <w:lang w:eastAsia="en-GB"/>
              </w:rPr>
              <w:t>were instrumental in delivering the best possible result in terms of the total</w:t>
            </w:r>
            <w:r>
              <w:rPr>
                <w:rFonts w:cs="Arial"/>
                <w:b/>
                <w:bCs/>
                <w:color w:val="000000"/>
                <w:lang w:eastAsia="en-GB"/>
              </w:rPr>
              <w:t xml:space="preserve"> consideration to the client;</w:t>
            </w:r>
          </w:p>
        </w:tc>
        <w:tc>
          <w:tcPr>
            <w:tcW w:w="6520" w:type="dxa"/>
            <w:shd w:val="clear" w:color="auto" w:fill="FFFFFF" w:themeFill="background1"/>
            <w:hideMark/>
          </w:tcPr>
          <w:p w:rsidR="003E20ED" w:rsidRDefault="003E20ED" w:rsidP="003E20ED">
            <w:pPr>
              <w:autoSpaceDE w:val="0"/>
              <w:autoSpaceDN w:val="0"/>
              <w:adjustRightInd w:val="0"/>
              <w:rPr>
                <w:rFonts w:cs="Arial"/>
                <w:color w:val="000000"/>
                <w:lang w:eastAsia="en-GB"/>
              </w:rPr>
            </w:pPr>
            <w:r>
              <w:rPr>
                <w:rFonts w:cs="Arial"/>
                <w:color w:val="000000"/>
                <w:lang w:eastAsia="en-GB"/>
              </w:rPr>
              <w:t xml:space="preserve"> </w:t>
            </w:r>
          </w:p>
          <w:p w:rsidR="003E20ED" w:rsidRPr="00D85E7A" w:rsidRDefault="00D85E7A" w:rsidP="00D85E7A">
            <w:pPr>
              <w:autoSpaceDE w:val="0"/>
              <w:autoSpaceDN w:val="0"/>
              <w:adjustRightInd w:val="0"/>
              <w:rPr>
                <w:rFonts w:cs="Arial"/>
                <w:color w:val="000000"/>
              </w:rPr>
            </w:pPr>
            <w:r>
              <w:rPr>
                <w:rFonts w:cs="Arial"/>
                <w:color w:val="000000"/>
              </w:rPr>
              <w:t>No such other criteria were given precedence when executing retail client orders in the period.</w:t>
            </w:r>
          </w:p>
        </w:tc>
      </w:tr>
      <w:tr w:rsidR="00BA4F83" w:rsidRPr="003E20ED" w:rsidTr="00680004">
        <w:trPr>
          <w:trHeight w:val="1545"/>
        </w:trPr>
        <w:tc>
          <w:tcPr>
            <w:tcW w:w="3828" w:type="dxa"/>
            <w:shd w:val="clear" w:color="auto" w:fill="FFFFFF" w:themeFill="background1"/>
          </w:tcPr>
          <w:p w:rsidR="00BA4F83" w:rsidRDefault="006B7BEE" w:rsidP="006B7BEE">
            <w:pPr>
              <w:autoSpaceDE w:val="0"/>
              <w:autoSpaceDN w:val="0"/>
              <w:adjustRightInd w:val="0"/>
              <w:rPr>
                <w:rFonts w:cs="Arial"/>
                <w:b/>
                <w:bCs/>
                <w:color w:val="000000"/>
                <w:lang w:eastAsia="en-GB"/>
              </w:rPr>
            </w:pPr>
            <w:r w:rsidRPr="006B7BEE">
              <w:rPr>
                <w:rFonts w:cs="Arial"/>
                <w:b/>
                <w:bCs/>
                <w:color w:val="000000"/>
                <w:lang w:eastAsia="en-GB"/>
              </w:rPr>
              <w:t>g) an explanation of how the investment</w:t>
            </w:r>
            <w:r>
              <w:rPr>
                <w:rFonts w:cs="Arial"/>
                <w:b/>
                <w:bCs/>
                <w:color w:val="000000"/>
                <w:lang w:eastAsia="en-GB"/>
              </w:rPr>
              <w:t xml:space="preserve"> </w:t>
            </w:r>
            <w:r w:rsidRPr="006B7BEE">
              <w:rPr>
                <w:rFonts w:cs="Arial"/>
                <w:b/>
                <w:bCs/>
                <w:color w:val="000000"/>
                <w:lang w:eastAsia="en-GB"/>
              </w:rPr>
              <w:t>firm has used any data or tools relating</w:t>
            </w:r>
            <w:r>
              <w:rPr>
                <w:rFonts w:cs="Arial"/>
                <w:b/>
                <w:bCs/>
                <w:color w:val="000000"/>
                <w:lang w:eastAsia="en-GB"/>
              </w:rPr>
              <w:t xml:space="preserve"> </w:t>
            </w:r>
            <w:r w:rsidRPr="006B7BEE">
              <w:rPr>
                <w:rFonts w:cs="Arial"/>
                <w:b/>
                <w:bCs/>
                <w:color w:val="000000"/>
                <w:lang w:eastAsia="en-GB"/>
              </w:rPr>
              <w:t>to the quality of execution, including any</w:t>
            </w:r>
            <w:r>
              <w:rPr>
                <w:rFonts w:cs="Arial"/>
                <w:b/>
                <w:bCs/>
                <w:color w:val="000000"/>
                <w:lang w:eastAsia="en-GB"/>
              </w:rPr>
              <w:t xml:space="preserve"> </w:t>
            </w:r>
            <w:r w:rsidRPr="006B7BEE">
              <w:rPr>
                <w:rFonts w:cs="Arial"/>
                <w:b/>
                <w:bCs/>
                <w:color w:val="000000"/>
                <w:lang w:eastAsia="en-GB"/>
              </w:rPr>
              <w:t>data published under RTS 27</w:t>
            </w:r>
            <w:r w:rsidR="00680004">
              <w:rPr>
                <w:rFonts w:cs="Arial"/>
                <w:b/>
                <w:bCs/>
                <w:color w:val="000000"/>
                <w:lang w:eastAsia="en-GB"/>
              </w:rPr>
              <w:t>;</w:t>
            </w:r>
          </w:p>
        </w:tc>
        <w:tc>
          <w:tcPr>
            <w:tcW w:w="6520" w:type="dxa"/>
            <w:shd w:val="clear" w:color="auto" w:fill="FFFFFF" w:themeFill="background1"/>
          </w:tcPr>
          <w:p w:rsidR="00BA4F83" w:rsidRDefault="00BA4F83" w:rsidP="003E20ED">
            <w:pPr>
              <w:autoSpaceDE w:val="0"/>
              <w:autoSpaceDN w:val="0"/>
              <w:adjustRightInd w:val="0"/>
              <w:rPr>
                <w:rFonts w:cs="Arial"/>
                <w:color w:val="000000"/>
                <w:lang w:eastAsia="en-GB"/>
              </w:rPr>
            </w:pPr>
          </w:p>
          <w:p w:rsidR="00BA4F83" w:rsidRDefault="00D85E7A" w:rsidP="00D85E7A">
            <w:pPr>
              <w:autoSpaceDE w:val="0"/>
              <w:autoSpaceDN w:val="0"/>
              <w:adjustRightInd w:val="0"/>
              <w:rPr>
                <w:rFonts w:cs="Arial"/>
                <w:color w:val="000000"/>
              </w:rPr>
            </w:pPr>
            <w:r>
              <w:rPr>
                <w:rFonts w:cs="Arial"/>
                <w:color w:val="000000"/>
              </w:rPr>
              <w:t>IBP uses market data from a number of sources in both the execution of orders as well as the monitoring of quality of execution on a post-trade basis.  Such tools include market data feeds as well as automated surveillance tools.</w:t>
            </w:r>
          </w:p>
          <w:p w:rsidR="00D85E7A" w:rsidRDefault="00D85E7A" w:rsidP="00D85E7A">
            <w:pPr>
              <w:autoSpaceDE w:val="0"/>
              <w:autoSpaceDN w:val="0"/>
              <w:adjustRightInd w:val="0"/>
              <w:rPr>
                <w:rFonts w:cs="Arial"/>
                <w:color w:val="000000"/>
              </w:rPr>
            </w:pPr>
          </w:p>
          <w:p w:rsidR="00BA4F83" w:rsidRPr="00BA4F83" w:rsidRDefault="00BA4F83" w:rsidP="00680004">
            <w:pPr>
              <w:autoSpaceDE w:val="0"/>
              <w:autoSpaceDN w:val="0"/>
              <w:adjustRightInd w:val="0"/>
              <w:rPr>
                <w:rFonts w:cs="Arial"/>
                <w:color w:val="000000"/>
              </w:rPr>
            </w:pPr>
          </w:p>
        </w:tc>
      </w:tr>
      <w:tr w:rsidR="006B7BEE" w:rsidRPr="003E20ED" w:rsidTr="006B7BEE">
        <w:trPr>
          <w:trHeight w:val="990"/>
        </w:trPr>
        <w:tc>
          <w:tcPr>
            <w:tcW w:w="3828" w:type="dxa"/>
            <w:shd w:val="clear" w:color="auto" w:fill="FFFFFF" w:themeFill="background1"/>
          </w:tcPr>
          <w:p w:rsidR="006B7BEE" w:rsidRPr="006B7BEE" w:rsidRDefault="006B7BEE" w:rsidP="006B7BEE">
            <w:pPr>
              <w:autoSpaceDE w:val="0"/>
              <w:autoSpaceDN w:val="0"/>
              <w:adjustRightInd w:val="0"/>
              <w:rPr>
                <w:rFonts w:cs="Arial"/>
                <w:b/>
                <w:bCs/>
                <w:color w:val="000000"/>
                <w:lang w:eastAsia="en-GB"/>
              </w:rPr>
            </w:pPr>
            <w:r>
              <w:rPr>
                <w:rFonts w:cs="Arial"/>
                <w:b/>
                <w:bCs/>
                <w:color w:val="000000"/>
                <w:lang w:eastAsia="en-GB"/>
              </w:rPr>
              <w:t xml:space="preserve">h) </w:t>
            </w:r>
            <w:r w:rsidRPr="006B7BEE">
              <w:rPr>
                <w:rFonts w:cs="Arial"/>
                <w:b/>
                <w:bCs/>
                <w:color w:val="000000"/>
                <w:lang w:eastAsia="en-GB"/>
              </w:rPr>
              <w:t>where applicable, an explanation of how the investment firm has used output of</w:t>
            </w:r>
            <w:r>
              <w:rPr>
                <w:rFonts w:cs="Arial"/>
                <w:b/>
                <w:bCs/>
                <w:color w:val="000000"/>
                <w:lang w:eastAsia="en-GB"/>
              </w:rPr>
              <w:t xml:space="preserve"> </w:t>
            </w:r>
            <w:r w:rsidRPr="006B7BEE">
              <w:rPr>
                <w:rFonts w:cs="Arial"/>
                <w:b/>
                <w:bCs/>
                <w:color w:val="000000"/>
                <w:lang w:eastAsia="en-GB"/>
              </w:rPr>
              <w:t>a consolidated tape provider established under Article 65 of Directive</w:t>
            </w:r>
            <w:r>
              <w:rPr>
                <w:rFonts w:cs="Arial"/>
                <w:b/>
                <w:bCs/>
                <w:color w:val="000000"/>
                <w:lang w:eastAsia="en-GB"/>
              </w:rPr>
              <w:t xml:space="preserve"> </w:t>
            </w:r>
            <w:r w:rsidRPr="006B7BEE">
              <w:rPr>
                <w:rFonts w:cs="Arial"/>
                <w:b/>
                <w:bCs/>
                <w:color w:val="000000"/>
                <w:lang w:eastAsia="en-GB"/>
              </w:rPr>
              <w:t>2014/65/EU</w:t>
            </w:r>
            <w:r w:rsidR="00680004">
              <w:rPr>
                <w:rFonts w:cs="Arial"/>
                <w:b/>
                <w:bCs/>
                <w:color w:val="000000"/>
                <w:lang w:eastAsia="en-GB"/>
              </w:rPr>
              <w:t>.</w:t>
            </w:r>
          </w:p>
        </w:tc>
        <w:tc>
          <w:tcPr>
            <w:tcW w:w="6520" w:type="dxa"/>
            <w:shd w:val="clear" w:color="auto" w:fill="FFFFFF" w:themeFill="background1"/>
          </w:tcPr>
          <w:p w:rsidR="006B7BEE" w:rsidRDefault="00D85E7A" w:rsidP="003E20ED">
            <w:pPr>
              <w:autoSpaceDE w:val="0"/>
              <w:autoSpaceDN w:val="0"/>
              <w:adjustRightInd w:val="0"/>
              <w:rPr>
                <w:rFonts w:cs="Arial"/>
                <w:color w:val="000000"/>
                <w:lang w:eastAsia="en-GB"/>
              </w:rPr>
            </w:pPr>
            <w:r>
              <w:rPr>
                <w:rFonts w:cs="Arial"/>
                <w:color w:val="000000"/>
                <w:lang w:eastAsia="en-GB"/>
              </w:rPr>
              <w:t>N/A – A consolidated tape provider was not in existence during the period.</w:t>
            </w:r>
          </w:p>
        </w:tc>
      </w:tr>
      <w:tr w:rsidR="006B7BEE" w:rsidRPr="003E20ED" w:rsidTr="006B7BEE">
        <w:trPr>
          <w:trHeight w:val="990"/>
        </w:trPr>
        <w:tc>
          <w:tcPr>
            <w:tcW w:w="3828" w:type="dxa"/>
            <w:shd w:val="clear" w:color="auto" w:fill="FFFFFF" w:themeFill="background1"/>
          </w:tcPr>
          <w:p w:rsidR="006B7BEE" w:rsidRDefault="006B7BEE" w:rsidP="006B7BEE">
            <w:pPr>
              <w:autoSpaceDE w:val="0"/>
              <w:autoSpaceDN w:val="0"/>
              <w:adjustRightInd w:val="0"/>
              <w:rPr>
                <w:rFonts w:cs="Arial"/>
                <w:b/>
                <w:bCs/>
                <w:color w:val="000000"/>
                <w:lang w:eastAsia="en-GB"/>
              </w:rPr>
            </w:pPr>
            <w:r>
              <w:rPr>
                <w:rFonts w:cs="Arial"/>
                <w:b/>
                <w:bCs/>
                <w:color w:val="000000"/>
                <w:lang w:eastAsia="en-GB"/>
              </w:rPr>
              <w:t xml:space="preserve">Analysis </w:t>
            </w:r>
            <w:r w:rsidR="00D507BD">
              <w:rPr>
                <w:rFonts w:cs="Arial"/>
                <w:b/>
                <w:bCs/>
                <w:color w:val="000000"/>
                <w:lang w:eastAsia="en-GB"/>
              </w:rPr>
              <w:t>and conclusions from quality of execution monitoring</w:t>
            </w:r>
          </w:p>
        </w:tc>
        <w:tc>
          <w:tcPr>
            <w:tcW w:w="6520" w:type="dxa"/>
            <w:shd w:val="clear" w:color="auto" w:fill="FFFFFF" w:themeFill="background1"/>
          </w:tcPr>
          <w:p w:rsidR="006B7BEE" w:rsidRDefault="00D85E7A" w:rsidP="003E20ED">
            <w:pPr>
              <w:autoSpaceDE w:val="0"/>
              <w:autoSpaceDN w:val="0"/>
              <w:adjustRightInd w:val="0"/>
              <w:rPr>
                <w:rFonts w:cs="Arial"/>
                <w:color w:val="000000"/>
                <w:lang w:eastAsia="en-GB"/>
              </w:rPr>
            </w:pPr>
            <w:r>
              <w:rPr>
                <w:rFonts w:cs="Arial"/>
                <w:color w:val="000000"/>
                <w:lang w:eastAsia="en-GB"/>
              </w:rPr>
              <w:t xml:space="preserve">IBP’s quality of execution monitoring provided assurance that, during the period, transactions were executed in accordance with the IBP Order </w:t>
            </w:r>
            <w:r w:rsidR="007040D4">
              <w:rPr>
                <w:rFonts w:cs="Arial"/>
                <w:color w:val="000000"/>
                <w:lang w:eastAsia="en-GB"/>
              </w:rPr>
              <w:t xml:space="preserve">and Best </w:t>
            </w:r>
            <w:r>
              <w:rPr>
                <w:rFonts w:cs="Arial"/>
                <w:color w:val="000000"/>
                <w:lang w:eastAsia="en-GB"/>
              </w:rPr>
              <w:t>Execution Policy.</w:t>
            </w:r>
          </w:p>
        </w:tc>
      </w:tr>
    </w:tbl>
    <w:p w:rsidR="003E20ED" w:rsidRDefault="003E20ED" w:rsidP="00E53F81">
      <w:pPr>
        <w:autoSpaceDE w:val="0"/>
        <w:autoSpaceDN w:val="0"/>
        <w:adjustRightInd w:val="0"/>
        <w:rPr>
          <w:rFonts w:cs="Arial"/>
          <w:color w:val="000000"/>
          <w:lang w:val="en-GB" w:eastAsia="en-GB"/>
        </w:rPr>
      </w:pPr>
    </w:p>
    <w:p w:rsidR="003E20ED" w:rsidRDefault="003E20ED" w:rsidP="00E53F81">
      <w:pPr>
        <w:autoSpaceDE w:val="0"/>
        <w:autoSpaceDN w:val="0"/>
        <w:adjustRightInd w:val="0"/>
        <w:rPr>
          <w:rFonts w:cs="Arial"/>
          <w:color w:val="000000"/>
          <w:lang w:val="en-GB" w:eastAsia="en-GB"/>
        </w:rPr>
      </w:pPr>
    </w:p>
    <w:p w:rsidR="003E20ED" w:rsidRDefault="003E20ED" w:rsidP="00E53F81">
      <w:pPr>
        <w:autoSpaceDE w:val="0"/>
        <w:autoSpaceDN w:val="0"/>
        <w:adjustRightInd w:val="0"/>
        <w:rPr>
          <w:rFonts w:cs="Arial"/>
          <w:color w:val="000000"/>
          <w:lang w:val="en-GB" w:eastAsia="en-GB"/>
        </w:rPr>
      </w:pPr>
    </w:p>
    <w:p w:rsidR="003E20ED" w:rsidRDefault="003E20ED" w:rsidP="00E53F81">
      <w:pPr>
        <w:autoSpaceDE w:val="0"/>
        <w:autoSpaceDN w:val="0"/>
        <w:adjustRightInd w:val="0"/>
        <w:rPr>
          <w:rFonts w:cs="Arial"/>
          <w:color w:val="000000"/>
          <w:lang w:val="en-GB" w:eastAsia="en-GB"/>
        </w:rPr>
      </w:pPr>
    </w:p>
    <w:p w:rsidR="002853DF" w:rsidRPr="00E14479" w:rsidRDefault="002853DF" w:rsidP="00E14479">
      <w:pPr>
        <w:tabs>
          <w:tab w:val="left" w:pos="1245"/>
        </w:tabs>
        <w:rPr>
          <w:rFonts w:cs="Arial"/>
          <w:lang w:val="en-GB" w:eastAsia="en-GB"/>
        </w:rPr>
      </w:pPr>
    </w:p>
    <w:sectPr w:rsidR="002853DF" w:rsidRPr="00E14479" w:rsidSect="00612FC7">
      <w:headerReference w:type="default" r:id="rId8"/>
      <w:footerReference w:type="default" r:id="rId9"/>
      <w:headerReference w:type="first" r:id="rId10"/>
      <w:footerReference w:type="first" r:id="rId11"/>
      <w:pgSz w:w="11906" w:h="16838" w:code="9"/>
      <w:pgMar w:top="2041" w:right="1021" w:bottom="2041" w:left="1021" w:header="39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E15" w:rsidRDefault="00DD3E15">
      <w:r>
        <w:separator/>
      </w:r>
    </w:p>
  </w:endnote>
  <w:endnote w:type="continuationSeparator" w:id="0">
    <w:p w:rsidR="00DD3E15" w:rsidRDefault="00DD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1D" w:rsidRDefault="00BC671D">
    <w:pPr>
      <w:pStyle w:val="Footer"/>
    </w:pPr>
    <w:r>
      <w:rPr>
        <w:noProof/>
        <w:lang w:val="en-GB" w:eastAsia="en-GB"/>
      </w:rPr>
      <w:drawing>
        <wp:anchor distT="0" distB="0" distL="114300" distR="114300" simplePos="0" relativeHeight="251659776" behindDoc="0" locked="0" layoutInCell="1" allowOverlap="1" wp14:anchorId="4341639B" wp14:editId="3E970F58">
          <wp:simplePos x="0" y="0"/>
          <wp:positionH relativeFrom="column">
            <wp:posOffset>4759325</wp:posOffset>
          </wp:positionH>
          <wp:positionV relativeFrom="page">
            <wp:posOffset>9935210</wp:posOffset>
          </wp:positionV>
          <wp:extent cx="1533525" cy="288925"/>
          <wp:effectExtent l="19050" t="0" r="9525" b="0"/>
          <wp:wrapNone/>
          <wp:docPr id="14"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ogo"/>
                  <pic:cNvPicPr>
                    <a:picLocks noChangeAspect="1" noChangeArrowheads="1"/>
                  </pic:cNvPicPr>
                </pic:nvPicPr>
                <pic:blipFill>
                  <a:blip r:embed="rId1"/>
                  <a:srcRect/>
                  <a:stretch>
                    <a:fillRect/>
                  </a:stretch>
                </pic:blipFill>
                <pic:spPr bwMode="auto">
                  <a:xfrm>
                    <a:off x="0" y="0"/>
                    <a:ext cx="1533525" cy="288925"/>
                  </a:xfrm>
                  <a:prstGeom prst="rect">
                    <a:avLst/>
                  </a:prstGeom>
                  <a:noFill/>
                </pic:spPr>
              </pic:pic>
            </a:graphicData>
          </a:graphic>
        </wp:anchor>
      </w:drawing>
    </w:r>
    <w:r w:rsidR="004143EB">
      <w:t>April 20</w:t>
    </w:r>
    <w:r w:rsidR="007040D4">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1D" w:rsidRDefault="00BC671D">
    <w:pPr>
      <w:pStyle w:val="Footer"/>
    </w:pPr>
    <w:r>
      <w:rPr>
        <w:noProof/>
        <w:lang w:val="en-GB" w:eastAsia="en-GB"/>
      </w:rPr>
      <w:drawing>
        <wp:anchor distT="0" distB="0" distL="114300" distR="114300" simplePos="0" relativeHeight="251656704" behindDoc="0" locked="0" layoutInCell="1" allowOverlap="1" wp14:anchorId="00EA07C3" wp14:editId="2D3864F6">
          <wp:simplePos x="0" y="0"/>
          <wp:positionH relativeFrom="column">
            <wp:posOffset>4754880</wp:posOffset>
          </wp:positionH>
          <wp:positionV relativeFrom="paragraph">
            <wp:posOffset>-170180</wp:posOffset>
          </wp:positionV>
          <wp:extent cx="1533525" cy="288925"/>
          <wp:effectExtent l="19050" t="0" r="9525" b="0"/>
          <wp:wrapNone/>
          <wp:docPr id="17"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
                  <pic:cNvPicPr>
                    <a:picLocks noChangeAspect="1" noChangeArrowheads="1"/>
                  </pic:cNvPicPr>
                </pic:nvPicPr>
                <pic:blipFill>
                  <a:blip r:embed="rId1"/>
                  <a:srcRect/>
                  <a:stretch>
                    <a:fillRect/>
                  </a:stretch>
                </pic:blipFill>
                <pic:spPr bwMode="auto">
                  <a:xfrm>
                    <a:off x="0" y="0"/>
                    <a:ext cx="1533525" cy="288925"/>
                  </a:xfrm>
                  <a:prstGeom prst="rect">
                    <a:avLst/>
                  </a:prstGeom>
                  <a:noFill/>
                </pic:spPr>
              </pic:pic>
            </a:graphicData>
          </a:graphic>
        </wp:anchor>
      </w:drawing>
    </w:r>
    <w:r>
      <w:rPr>
        <w:noProof/>
        <w:lang w:val="en-GB" w:eastAsia="en-GB"/>
      </w:rPr>
      <w:drawing>
        <wp:anchor distT="0" distB="0" distL="114300" distR="114300" simplePos="0" relativeHeight="251654656" behindDoc="1" locked="0" layoutInCell="1" allowOverlap="1" wp14:anchorId="6785EFC8" wp14:editId="184CBCC3">
          <wp:simplePos x="0" y="0"/>
          <wp:positionH relativeFrom="column">
            <wp:posOffset>-419100</wp:posOffset>
          </wp:positionH>
          <wp:positionV relativeFrom="paragraph">
            <wp:posOffset>-1656080</wp:posOffset>
          </wp:positionV>
          <wp:extent cx="1250315" cy="1925320"/>
          <wp:effectExtent l="19050" t="0" r="6985" b="0"/>
          <wp:wrapSquare wrapText="bothSides"/>
          <wp:docPr id="18" name="Picture 18" descr="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itleImage"/>
                  <pic:cNvPicPr>
                    <a:picLocks noChangeAspect="1" noChangeArrowheads="1"/>
                  </pic:cNvPicPr>
                </pic:nvPicPr>
                <pic:blipFill>
                  <a:blip r:embed="rId2"/>
                  <a:srcRect/>
                  <a:stretch>
                    <a:fillRect/>
                  </a:stretch>
                </pic:blipFill>
                <pic:spPr bwMode="auto">
                  <a:xfrm>
                    <a:off x="0" y="0"/>
                    <a:ext cx="1250315" cy="192532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E15" w:rsidRDefault="00DD3E15">
      <w:r>
        <w:separator/>
      </w:r>
    </w:p>
  </w:footnote>
  <w:footnote w:type="continuationSeparator" w:id="0">
    <w:p w:rsidR="00DD3E15" w:rsidRDefault="00DD3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1D" w:rsidRDefault="001B46AB">
    <w:pPr>
      <w:pStyle w:val="Header"/>
    </w:pPr>
    <w:r>
      <w:rPr>
        <w:noProof/>
        <w:lang w:val="en-GB" w:eastAsia="en-GB"/>
      </w:rPr>
      <mc:AlternateContent>
        <mc:Choice Requires="wpg">
          <w:drawing>
            <wp:anchor distT="0" distB="0" distL="114300" distR="114300" simplePos="0" relativeHeight="251658752" behindDoc="0" locked="0" layoutInCell="1" allowOverlap="1" wp14:anchorId="75BA0B82" wp14:editId="7D5865AC">
              <wp:simplePos x="0" y="0"/>
              <wp:positionH relativeFrom="page">
                <wp:posOffset>6671945</wp:posOffset>
              </wp:positionH>
              <wp:positionV relativeFrom="page">
                <wp:posOffset>683895</wp:posOffset>
              </wp:positionV>
              <wp:extent cx="888365" cy="244475"/>
              <wp:effectExtent l="0" t="0" r="26035" b="22225"/>
              <wp:wrapNone/>
              <wp:docPr id="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365" cy="244475"/>
                        <a:chOff x="2241" y="3839"/>
                        <a:chExt cx="1136" cy="289"/>
                      </a:xfrm>
                    </wpg:grpSpPr>
                    <wps:wsp>
                      <wps:cNvPr id="9" name="Line 49"/>
                      <wps:cNvCnPr/>
                      <wps:spPr bwMode="auto">
                        <a:xfrm>
                          <a:off x="2241" y="4128"/>
                          <a:ext cx="1136" cy="0"/>
                        </a:xfrm>
                        <a:prstGeom prst="line">
                          <a:avLst/>
                        </a:prstGeom>
                        <a:noFill/>
                        <a:ln w="19050">
                          <a:solidFill>
                            <a:srgbClr val="C55E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7424A"/>
                                </a:outerShdw>
                              </a:effectLst>
                            </a14:hiddenEffects>
                          </a:ext>
                        </a:extLst>
                      </wps:spPr>
                      <wps:bodyPr/>
                    </wps:wsp>
                    <wps:wsp>
                      <wps:cNvPr id="10" name="Line 50"/>
                      <wps:cNvCnPr/>
                      <wps:spPr bwMode="auto">
                        <a:xfrm>
                          <a:off x="2241" y="3984"/>
                          <a:ext cx="1136" cy="0"/>
                        </a:xfrm>
                        <a:prstGeom prst="line">
                          <a:avLst/>
                        </a:prstGeom>
                        <a:noFill/>
                        <a:ln w="19050">
                          <a:solidFill>
                            <a:srgbClr val="F0AB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7424A"/>
                                </a:outerShdw>
                              </a:effectLst>
                            </a14:hiddenEffects>
                          </a:ext>
                        </a:extLst>
                      </wps:spPr>
                      <wps:bodyPr/>
                    </wps:wsp>
                    <wps:wsp>
                      <wps:cNvPr id="11" name="Line 51"/>
                      <wps:cNvCnPr/>
                      <wps:spPr bwMode="auto">
                        <a:xfrm>
                          <a:off x="2241" y="3910"/>
                          <a:ext cx="1136" cy="0"/>
                        </a:xfrm>
                        <a:prstGeom prst="line">
                          <a:avLst/>
                        </a:prstGeom>
                        <a:noFill/>
                        <a:ln w="19050">
                          <a:solidFill>
                            <a:srgbClr val="00AF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7424A"/>
                                </a:outerShdw>
                              </a:effectLst>
                            </a14:hiddenEffects>
                          </a:ext>
                        </a:extLst>
                      </wps:spPr>
                      <wps:bodyPr/>
                    </wps:wsp>
                    <wps:wsp>
                      <wps:cNvPr id="12" name="Line 52"/>
                      <wps:cNvCnPr/>
                      <wps:spPr bwMode="auto">
                        <a:xfrm>
                          <a:off x="2241" y="4055"/>
                          <a:ext cx="1136" cy="0"/>
                        </a:xfrm>
                        <a:prstGeom prst="line">
                          <a:avLst/>
                        </a:prstGeom>
                        <a:noFill/>
                        <a:ln w="19050">
                          <a:solidFill>
                            <a:srgbClr val="61C2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7424A"/>
                                </a:outerShdw>
                              </a:effectLst>
                            </a14:hiddenEffects>
                          </a:ext>
                        </a:extLst>
                      </wps:spPr>
                      <wps:bodyPr/>
                    </wps:wsp>
                    <wps:wsp>
                      <wps:cNvPr id="13" name="Line 53"/>
                      <wps:cNvCnPr/>
                      <wps:spPr bwMode="auto">
                        <a:xfrm>
                          <a:off x="2241" y="3839"/>
                          <a:ext cx="1136" cy="0"/>
                        </a:xfrm>
                        <a:prstGeom prst="line">
                          <a:avLst/>
                        </a:prstGeom>
                        <a:noFill/>
                        <a:ln w="19050">
                          <a:solidFill>
                            <a:srgbClr val="E3722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7424A"/>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076FCCB" id="Group 48" o:spid="_x0000_s1026" style="position:absolute;margin-left:525.35pt;margin-top:53.85pt;width:69.95pt;height:19.25pt;z-index:251658752;mso-position-horizontal-relative:page;mso-position-vertical-relative:page" coordorigin="2241,3839" coordsize="113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">
              <v:line id="Line 49" o:spid="_x0000_s1027" style="position:absolute;visibility:visible;mso-wrap-style:square" from="2241,4128" to="3377,4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TpwcQAAADaAAAADwAAAGRycy9kb3ducmV2LnhtbESPQWvCQBSE7wX/w/IEb3VjpSVG1yAl&#10;xdBLqXrI8ZF9JsHs2zS7Jum/7xYKPQ4z8w2zSyfTioF611hWsFpGIIhLqxuuFFzOb48xCOeRNbaW&#10;ScE3OUj3s4cdJtqO/EnDyVciQNglqKD2vkukdGVNBt3SdsTBu9reoA+yr6TucQxw08qnKHqRBhsO&#10;CzV29FpTeTvdjQKzKb6KdXb9ON7H4Vj4DPPn+F2pxXw6bEF4mvx/+K+dawUb+L0SboD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OnBxAAAANoAAAAPAAAAAAAAAAAA&#10;AAAAAKECAABkcnMvZG93bnJldi54bWxQSwUGAAAAAAQABAD5AAAAkgMAAAAA&#10;" strokecolor="#c55e9b" strokeweight="1.5pt">
                <v:shadow color="#37424a"/>
              </v:line>
              <v:line id="Line 50" o:spid="_x0000_s1028" style="position:absolute;visibility:visible;mso-wrap-style:square" from="2241,3984" to="3377,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t9jcIAAADbAAAADwAAAGRycy9kb3ducmV2LnhtbESPQWsCMRCF74L/IYzQm2arIGVrlCKI&#10;hSLYVfA6bKa7aTeTJUl1/ffOodDbDO/Ne9+sNoPv1JVicoENPM8KUMR1sI4bA+fTbvoCKmVki11g&#10;MnCnBJv1eLTC0oYbf9K1yo2SEE4lGmhz7kutU92SxzQLPbFoXyF6zLLGRtuINwn3nZ4XxVJ7dCwN&#10;Lfa0ban+qX69gcX2wyHtFvE7Xw72Uu0dHtPdmKfJ8PYKKtOQ/81/1+9W8IVefpEB9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t9jcIAAADbAAAADwAAAAAAAAAAAAAA&#10;AAChAgAAZHJzL2Rvd25yZXYueG1sUEsFBgAAAAAEAAQA+QAAAJADAAAAAA==&#10;" strokecolor="#f0ab00" strokeweight="1.5pt">
                <v:shadow color="#37424a"/>
              </v:line>
              <v:line id="Line 51" o:spid="_x0000_s1029" style="position:absolute;visibility:visible;mso-wrap-style:square" from="2241,3910" to="3377,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SvYcMAAADbAAAADwAAAGRycy9kb3ducmV2LnhtbERPS2rDMBDdF3oHMYFuQiPHlFLcyCa4&#10;lDqhmyQ9wGCNP9gaGUt1nJw+KgS6m8f7ziabTS8mGl1rWcF6FYEgLq1uuVbwc/p8fgPhPLLG3jIp&#10;uJCDLH182GCi7ZkPNB19LUIIuwQVNN4PiZSubMigW9mBOHCVHQ36AMda6hHPIdz0Mo6iV2mw5dDQ&#10;4EB5Q2V3/DUKXpZ1vrzy13VXdEM17fNT/L37UOppMW/fQXia/b/47i50mL+Gv1/CAT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0r2HDAAAA2wAAAA8AAAAAAAAAAAAA&#10;AAAAoQIAAGRycy9kb3ducmV2LnhtbFBLBQYAAAAABAAEAPkAAACRAwAAAAA=&#10;" strokecolor="#00afd8" strokeweight="1.5pt">
                <v:shadow color="#37424a"/>
              </v:line>
              <v:line id="Line 52" o:spid="_x0000_s1030" style="position:absolute;visibility:visible;mso-wrap-style:square" from="2241,4055" to="3377,4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AY8IAAADbAAAADwAAAGRycy9kb3ducmV2LnhtbERPzWoCMRC+C75DGMGLaNY9iN0aRbcI&#10;0kvR+gDDZrpZ3EyWJHW3ffpGEHqbj+93NrvBtuJOPjSOFSwXGQjiyumGawXXz+N8DSJEZI2tY1Lw&#10;QwF22/Fog4V2PZ/pfom1SCEcClRgYuwKKUNlyGJYuI44cV/OW4wJ+lpqj30Kt63Ms2wlLTacGgx2&#10;VBqqbpdvq6A8r8re5M6/zz5mh/ql/T0d9m9KTSfD/hVEpCH+i5/uk07zc3j8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PAY8IAAADbAAAADwAAAAAAAAAAAAAA&#10;AAChAgAAZHJzL2Rvd25yZXYueG1sUEsFBgAAAAAEAAQA+QAAAJADAAAAAA==&#10;" strokecolor="#61c250" strokeweight="1.5pt">
                <v:shadow color="#37424a"/>
              </v:line>
              <v:line id="Line 53" o:spid="_x0000_s1031" style="position:absolute;visibility:visible;mso-wrap-style:square" from="2241,3839" to="3377,3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Hr/MAAAADbAAAADwAAAGRycy9kb3ducmV2LnhtbERPTWsCMRC9C/0PYQpeRLOrIHZrlLZg&#10;UW9q8Txsxt2lm8mSpHH9940geJvH+5zlujetiOR8Y1lBPslAEJdWN1wp+DltxgsQPiBrbC2Tght5&#10;WK9eBksstL3ygeIxVCKFsC9QQR1CV0jpy5oM+ontiBN3sc5gSNBVUju8pnDTymmWzaXBhlNDjR19&#10;1VT+Hv+Mgpn0eR5vu32cxrfz96e7jOxIKjV87T/eQQTqw1P8cG91mj+D+y/pALn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qh6/zAAAAA2wAAAA8AAAAAAAAAAAAAAAAA&#10;oQIAAGRycy9kb3ducmV2LnhtbFBLBQYAAAAABAAEAPkAAACOAwAAAAA=&#10;" strokecolor="#e37222" strokeweight="1.5pt">
                <v:shadow color="#37424a"/>
              </v:lin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0ED" w:rsidRDefault="003E20ED">
    <w:pPr>
      <w:pStyle w:val="Header"/>
    </w:pPr>
    <w:r>
      <w:rPr>
        <w:noProof/>
        <w:lang w:val="en-GB" w:eastAsia="en-GB"/>
      </w:rPr>
      <mc:AlternateContent>
        <mc:Choice Requires="wps">
          <w:drawing>
            <wp:anchor distT="0" distB="0" distL="114300" distR="114300" simplePos="0" relativeHeight="251657728" behindDoc="0" locked="0" layoutInCell="1" allowOverlap="1" wp14:anchorId="2C688597" wp14:editId="0EDC58B9">
              <wp:simplePos x="0" y="0"/>
              <wp:positionH relativeFrom="column">
                <wp:posOffset>4599940</wp:posOffset>
              </wp:positionH>
              <wp:positionV relativeFrom="paragraph">
                <wp:posOffset>240030</wp:posOffset>
              </wp:positionV>
              <wp:extent cx="1877695" cy="409575"/>
              <wp:effectExtent l="0" t="0" r="8255" b="9525"/>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71D" w:rsidRPr="008F6809" w:rsidRDefault="00BC671D">
                          <w:pPr>
                            <w:rPr>
                              <w:color w:val="00204E"/>
                              <w:sz w:val="56"/>
                              <w:szCs w:val="56"/>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88597" id="_x0000_t202" coordsize="21600,21600" o:spt="202" path="m,l,21600r21600,l21600,xe">
              <v:stroke joinstyle="miter"/>
              <v:path gradientshapeok="t" o:connecttype="rect"/>
            </v:shapetype>
            <v:shape id="Text Box 47" o:spid="_x0000_s1026" type="#_x0000_t202" style="position:absolute;margin-left:362.2pt;margin-top:18.9pt;width:147.85pt;height:32.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" filled="f" stroked="f">
              <v:textbox inset="0,0,0,0">
                <w:txbxContent>
                  <w:p w:rsidR="00BC671D" w:rsidRPr="008F6809" w:rsidRDefault="00BC671D">
                    <w:pPr>
                      <w:rPr>
                        <w:color w:val="00204E"/>
                        <w:sz w:val="56"/>
                        <w:szCs w:val="56"/>
                      </w:rPr>
                    </w:pPr>
                  </w:p>
                </w:txbxContent>
              </v:textbox>
            </v:shape>
          </w:pict>
        </mc:Fallback>
      </mc:AlternateContent>
    </w:r>
  </w:p>
  <w:p w:rsidR="003E20ED" w:rsidRDefault="003E20ED">
    <w:pPr>
      <w:pStyle w:val="Header"/>
    </w:pPr>
  </w:p>
  <w:p w:rsidR="003E20ED" w:rsidRDefault="003E20ED">
    <w:pPr>
      <w:pStyle w:val="Header"/>
    </w:pPr>
    <w:r>
      <w:rPr>
        <w:noProof/>
        <w:lang w:val="en-GB" w:eastAsia="en-GB"/>
      </w:rPr>
      <w:drawing>
        <wp:anchor distT="0" distB="0" distL="114300" distR="114300" simplePos="0" relativeHeight="251661824" behindDoc="1" locked="0" layoutInCell="1" allowOverlap="1" wp14:anchorId="7EC27B83" wp14:editId="31C4C5EB">
          <wp:simplePos x="0" y="0"/>
          <wp:positionH relativeFrom="column">
            <wp:posOffset>4304665</wp:posOffset>
          </wp:positionH>
          <wp:positionV relativeFrom="paragraph">
            <wp:posOffset>24130</wp:posOffset>
          </wp:positionV>
          <wp:extent cx="1536065" cy="292735"/>
          <wp:effectExtent l="0" t="0" r="6985" b="0"/>
          <wp:wrapThrough wrapText="bothSides">
            <wp:wrapPolygon edited="0">
              <wp:start x="0" y="0"/>
              <wp:lineTo x="0" y="19679"/>
              <wp:lineTo x="21430" y="19679"/>
              <wp:lineTo x="21430"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292735"/>
                  </a:xfrm>
                  <a:prstGeom prst="rect">
                    <a:avLst/>
                  </a:prstGeom>
                  <a:noFill/>
                </pic:spPr>
              </pic:pic>
            </a:graphicData>
          </a:graphic>
        </wp:anchor>
      </w:drawing>
    </w:r>
  </w:p>
  <w:p w:rsidR="00BC671D" w:rsidRDefault="003E20ED">
    <w:pPr>
      <w:pStyle w:val="Header"/>
    </w:pPr>
    <w:r>
      <w:t xml:space="preserve">                                                                                                                         </w:t>
    </w:r>
    <w:r w:rsidR="001B46AB">
      <w:rPr>
        <w:noProof/>
        <w:lang w:val="en-GB" w:eastAsia="en-GB"/>
      </w:rPr>
      <mc:AlternateContent>
        <mc:Choice Requires="wpg">
          <w:drawing>
            <wp:anchor distT="0" distB="0" distL="114300" distR="114300" simplePos="0" relativeHeight="251655680" behindDoc="0" locked="0" layoutInCell="1" allowOverlap="1" wp14:anchorId="7A0FCF62" wp14:editId="06EC7762">
              <wp:simplePos x="0" y="0"/>
              <wp:positionH relativeFrom="page">
                <wp:posOffset>6672580</wp:posOffset>
              </wp:positionH>
              <wp:positionV relativeFrom="page">
                <wp:posOffset>685800</wp:posOffset>
              </wp:positionV>
              <wp:extent cx="888365" cy="244475"/>
              <wp:effectExtent l="0" t="0" r="26035" b="22225"/>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365" cy="244475"/>
                        <a:chOff x="2241" y="3839"/>
                        <a:chExt cx="1136" cy="289"/>
                      </a:xfrm>
                    </wpg:grpSpPr>
                    <wps:wsp>
                      <wps:cNvPr id="2" name="Line 30"/>
                      <wps:cNvCnPr/>
                      <wps:spPr bwMode="auto">
                        <a:xfrm>
                          <a:off x="2241" y="4128"/>
                          <a:ext cx="1136" cy="0"/>
                        </a:xfrm>
                        <a:prstGeom prst="line">
                          <a:avLst/>
                        </a:prstGeom>
                        <a:noFill/>
                        <a:ln w="19050">
                          <a:solidFill>
                            <a:srgbClr val="C55E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7424A"/>
                                </a:outerShdw>
                              </a:effectLst>
                            </a14:hiddenEffects>
                          </a:ext>
                        </a:extLst>
                      </wps:spPr>
                      <wps:bodyPr/>
                    </wps:wsp>
                    <wps:wsp>
                      <wps:cNvPr id="3" name="Line 31"/>
                      <wps:cNvCnPr/>
                      <wps:spPr bwMode="auto">
                        <a:xfrm>
                          <a:off x="2241" y="3984"/>
                          <a:ext cx="1136" cy="0"/>
                        </a:xfrm>
                        <a:prstGeom prst="line">
                          <a:avLst/>
                        </a:prstGeom>
                        <a:noFill/>
                        <a:ln w="19050">
                          <a:solidFill>
                            <a:srgbClr val="F0AB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7424A"/>
                                </a:outerShdw>
                              </a:effectLst>
                            </a14:hiddenEffects>
                          </a:ext>
                        </a:extLst>
                      </wps:spPr>
                      <wps:bodyPr/>
                    </wps:wsp>
                    <wps:wsp>
                      <wps:cNvPr id="4" name="Line 32"/>
                      <wps:cNvCnPr/>
                      <wps:spPr bwMode="auto">
                        <a:xfrm>
                          <a:off x="2241" y="3910"/>
                          <a:ext cx="1136" cy="0"/>
                        </a:xfrm>
                        <a:prstGeom prst="line">
                          <a:avLst/>
                        </a:prstGeom>
                        <a:noFill/>
                        <a:ln w="19050">
                          <a:solidFill>
                            <a:srgbClr val="00AF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7424A"/>
                                </a:outerShdw>
                              </a:effectLst>
                            </a14:hiddenEffects>
                          </a:ext>
                        </a:extLst>
                      </wps:spPr>
                      <wps:bodyPr/>
                    </wps:wsp>
                    <wps:wsp>
                      <wps:cNvPr id="5" name="Line 33"/>
                      <wps:cNvCnPr/>
                      <wps:spPr bwMode="auto">
                        <a:xfrm>
                          <a:off x="2241" y="4055"/>
                          <a:ext cx="1136" cy="0"/>
                        </a:xfrm>
                        <a:prstGeom prst="line">
                          <a:avLst/>
                        </a:prstGeom>
                        <a:noFill/>
                        <a:ln w="19050">
                          <a:solidFill>
                            <a:srgbClr val="61C2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7424A"/>
                                </a:outerShdw>
                              </a:effectLst>
                            </a14:hiddenEffects>
                          </a:ext>
                        </a:extLst>
                      </wps:spPr>
                      <wps:bodyPr/>
                    </wps:wsp>
                    <wps:wsp>
                      <wps:cNvPr id="6" name="Line 34"/>
                      <wps:cNvCnPr/>
                      <wps:spPr bwMode="auto">
                        <a:xfrm>
                          <a:off x="2241" y="3839"/>
                          <a:ext cx="1136" cy="0"/>
                        </a:xfrm>
                        <a:prstGeom prst="line">
                          <a:avLst/>
                        </a:prstGeom>
                        <a:noFill/>
                        <a:ln w="19050">
                          <a:solidFill>
                            <a:srgbClr val="E3722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7424A"/>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87AA73E" id="Group 29" o:spid="_x0000_s1026" style="position:absolute;margin-left:525.4pt;margin-top:54pt;width:69.95pt;height:19.25pt;z-index:251655680;mso-position-horizontal-relative:page;mso-position-vertical-relative:page" coordorigin="2241,3839" coordsize="113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">
              <v:line id="Line 30" o:spid="_x0000_s1027" style="position:absolute;visibility:visible;mso-wrap-style:square" from="2241,4128" to="3377,4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7sMQAAADaAAAADwAAAGRycy9kb3ducmV2LnhtbESPT2vCQBTE7wW/w/KE3upGS0uMriLF&#10;ktBLqXrI8ZF9JsHs25jd/Om37xYKPQ4z8xtmu59MIwbqXG1ZwXIRgSAurK65VHA5vz/FIJxH1thY&#10;JgXf5GC/mz1sMdF25C8aTr4UAcIuQQWV920ipSsqMugWtiUO3tV2Bn2QXSl1h2OAm0auouhVGqw5&#10;LFTY0ltFxe3UGwVmnd/z5+P1M+3HIc39EbOX+EOpx/l02IDwNPn/8F870wpW8Hsl3A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YHuwxAAAANoAAAAPAAAAAAAAAAAA&#10;AAAAAKECAABkcnMvZG93bnJldi54bWxQSwUGAAAAAAQABAD5AAAAkgMAAAAA&#10;" strokecolor="#c55e9b" strokeweight="1.5pt">
                <v:shadow color="#37424a"/>
              </v:line>
              <v:line id="Line 31" o:spid="_x0000_s1028" style="position:absolute;visibility:visible;mso-wrap-style:square" from="2241,3984" to="3377,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2BqsAAAADaAAAADwAAAGRycy9kb3ducmV2LnhtbESPQYvCMBSE74L/IbyFvWm6CiJdo4gg&#10;CrKgdcHro3nbZm1eShK1/nsjCB6HmW+GmS0624gr+WAcK/gaZiCIS6cNVwp+j+vBFESIyBobx6Tg&#10;TgEW835vhrl2Nz7QtYiVSCUcclRQx9jmUoayJoth6Fri5P05bzEm6SupPd5SuW3kKMsm0qLhtFBj&#10;S6uaynNxsQrGq51BWo/9fzz96FOxMbgPd6U+P7rlN4hIXXyHX/RWJw6eV9INkP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9garAAAAA2gAAAA8AAAAAAAAAAAAAAAAA&#10;oQIAAGRycy9kb3ducmV2LnhtbFBLBQYAAAAABAAEAPkAAACOAwAAAAA=&#10;" strokecolor="#f0ab00" strokeweight="1.5pt">
                <v:shadow color="#37424a"/>
              </v:line>
              <v:line id="Line 32" o:spid="_x0000_s1029" style="position:absolute;visibility:visible;mso-wrap-style:square" from="2241,3910" to="3377,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QKrsMAAADaAAAADwAAAGRycy9kb3ducmV2LnhtbESP0WrCQBRE3wv+w3IFX6RuKqWU6CqS&#10;IkbpS5N+wCV7TYLZuyG7xpivdwtCH4eZM8Ost4NpRE+dqy0reFtEIIgLq2suFfzm+9dPEM4ja2ws&#10;k4I7OdhuJi9rjLW98Q/1mS9FKGEXo4LK+zaW0hUVGXQL2xIH72w7gz7IrpS6w1soN41cRtGHNFhz&#10;WKiwpaSi4pJdjYL3eZnMRz6Mx/TSnvtTki+/j19KzabDbgXC0+D/w0861YGDvyvhBs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0Cq7DAAAA2gAAAA8AAAAAAAAAAAAA&#10;AAAAoQIAAGRycy9kb3ducmV2LnhtbFBLBQYAAAAABAAEAPkAAACRAwAAAAA=&#10;" strokecolor="#00afd8" strokeweight="1.5pt">
                <v:shadow color="#37424a"/>
              </v:line>
              <v:line id="Line 33" o:spid="_x0000_s1030" style="position:absolute;visibility:visible;mso-wrap-style:square" from="2241,4055" to="3377,4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5rsQAAADaAAAADwAAAGRycy9kb3ducmV2LnhtbESP3WoCMRSE7wu+QzgFb6RmFRS7GkW3&#10;FMSb4s8DHDbHzdLNyZKk7tqnN0Khl8PMfMOsNr1txI18qB0rmIwzEMSl0zVXCi7nz7cFiBCRNTaO&#10;ScGdAmzWg5cV5tp1fKTbKVYiQTjkqMDE2OZShtKQxTB2LXHyrs5bjEn6SmqPXYLbRk6zbC4t1pwW&#10;DLZUGCq/Tz9WQXGcF52ZOn8YfY121Xvzu99tP5QavvbbJYhIffwP/7X3WsEMnlfSD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D7muxAAAANoAAAAPAAAAAAAAAAAA&#10;AAAAAKECAABkcnMvZG93bnJldi54bWxQSwUGAAAAAAQABAD5AAAAkgMAAAAA&#10;" strokecolor="#61c250" strokeweight="1.5pt">
                <v:shadow color="#37424a"/>
              </v:line>
              <v:line id="Line 34" o:spid="_x0000_s1031" style="position:absolute;visibility:visible;mso-wrap-style:square" from="2241,3839" to="3377,3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s/jMIAAADaAAAADwAAAGRycy9kb3ducmV2LnhtbESPQWsCMRSE70L/Q3gFL6LZVRC7NUpb&#10;sKg3tXh+bJ67SzcvS5LG9d83guBxmJlvmOW6N62I5HxjWUE+yUAQl1Y3XCn4OW3GCxA+IGtsLZOC&#10;G3lYr14GSyy0vfKB4jFUIkHYF6igDqErpPRlTQb9xHbEybtYZzAk6SqpHV4T3LRymmVzabDhtFBj&#10;R181lb/HP6NgJn2ex9tuH6fx7fz96S4jO5JKDV/7j3cQgfrwDD/aW61gDvcr6Qb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s/jMIAAADaAAAADwAAAAAAAAAAAAAA&#10;AAChAgAAZHJzL2Rvd25yZXYueG1sUEsFBgAAAAAEAAQA+QAAAJADAAAAAA==&#10;" strokecolor="#e37222" strokeweight="1.5pt">
                <v:shadow color="#37424a"/>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907"/>
    <w:multiLevelType w:val="hybridMultilevel"/>
    <w:tmpl w:val="AB682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77F2"/>
    <w:multiLevelType w:val="hybridMultilevel"/>
    <w:tmpl w:val="B906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356BE"/>
    <w:multiLevelType w:val="hybridMultilevel"/>
    <w:tmpl w:val="F84E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A0FCD"/>
    <w:multiLevelType w:val="hybridMultilevel"/>
    <w:tmpl w:val="23E6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4417B"/>
    <w:multiLevelType w:val="hybridMultilevel"/>
    <w:tmpl w:val="20523B5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7E6F3C"/>
    <w:multiLevelType w:val="hybridMultilevel"/>
    <w:tmpl w:val="4546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7E6881"/>
    <w:multiLevelType w:val="hybridMultilevel"/>
    <w:tmpl w:val="2F4A9F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A2D1E5B"/>
    <w:multiLevelType w:val="hybridMultilevel"/>
    <w:tmpl w:val="698A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B206DD"/>
    <w:multiLevelType w:val="hybridMultilevel"/>
    <w:tmpl w:val="53B6CBEA"/>
    <w:lvl w:ilvl="0" w:tplc="C3E6E9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C141D9"/>
    <w:multiLevelType w:val="hybridMultilevel"/>
    <w:tmpl w:val="A8AE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E7777A"/>
    <w:multiLevelType w:val="hybridMultilevel"/>
    <w:tmpl w:val="2328327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964A2B"/>
    <w:multiLevelType w:val="hybridMultilevel"/>
    <w:tmpl w:val="1A188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73329B9"/>
    <w:multiLevelType w:val="hybridMultilevel"/>
    <w:tmpl w:val="A862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372B81"/>
    <w:multiLevelType w:val="hybridMultilevel"/>
    <w:tmpl w:val="4D3C4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0115C4"/>
    <w:multiLevelType w:val="hybridMultilevel"/>
    <w:tmpl w:val="772C6BD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1F5B2705"/>
    <w:multiLevelType w:val="hybridMultilevel"/>
    <w:tmpl w:val="321E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F1473"/>
    <w:multiLevelType w:val="hybridMultilevel"/>
    <w:tmpl w:val="5E7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CD2802"/>
    <w:multiLevelType w:val="hybridMultilevel"/>
    <w:tmpl w:val="3146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67A89"/>
    <w:multiLevelType w:val="hybridMultilevel"/>
    <w:tmpl w:val="5968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2150A"/>
    <w:multiLevelType w:val="hybridMultilevel"/>
    <w:tmpl w:val="976E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7B1199"/>
    <w:multiLevelType w:val="hybridMultilevel"/>
    <w:tmpl w:val="B9F43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2FC392E"/>
    <w:multiLevelType w:val="hybridMultilevel"/>
    <w:tmpl w:val="B44C6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625582"/>
    <w:multiLevelType w:val="hybridMultilevel"/>
    <w:tmpl w:val="51FC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146C33"/>
    <w:multiLevelType w:val="hybridMultilevel"/>
    <w:tmpl w:val="51EC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2D6963"/>
    <w:multiLevelType w:val="hybridMultilevel"/>
    <w:tmpl w:val="82CA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65351"/>
    <w:multiLevelType w:val="hybridMultilevel"/>
    <w:tmpl w:val="895C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97B8F"/>
    <w:multiLevelType w:val="hybridMultilevel"/>
    <w:tmpl w:val="0470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7A00A7"/>
    <w:multiLevelType w:val="hybridMultilevel"/>
    <w:tmpl w:val="4D1A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655A10"/>
    <w:multiLevelType w:val="multilevel"/>
    <w:tmpl w:val="7A3A8E9E"/>
    <w:styleLink w:val="Numbering"/>
    <w:lvl w:ilvl="0">
      <w:start w:val="1"/>
      <w:numFmt w:val="decimal"/>
      <w:lvlText w:val="Section %1  - "/>
      <w:lvlJc w:val="left"/>
      <w:pPr>
        <w:tabs>
          <w:tab w:val="num" w:pos="432"/>
        </w:tabs>
        <w:ind w:left="432" w:hanging="432"/>
      </w:pPr>
      <w:rPr>
        <w:rFonts w:ascii="Arial" w:hAnsi="Arial" w:hint="default"/>
        <w:b/>
        <w:sz w:val="36"/>
        <w:szCs w:val="36"/>
      </w:rPr>
    </w:lvl>
    <w:lvl w:ilvl="1">
      <w:start w:val="1"/>
      <w:numFmt w:val="decimal"/>
      <w:lvlText w:val="%1.%2"/>
      <w:lvlJc w:val="left"/>
      <w:pPr>
        <w:tabs>
          <w:tab w:val="num" w:pos="1320"/>
        </w:tabs>
        <w:ind w:left="1320" w:hanging="1080"/>
      </w:pPr>
      <w:rPr>
        <w:rFonts w:ascii="Arial" w:hAnsi="Arial" w:hint="default"/>
        <w:b/>
        <w:i w:val="0"/>
        <w:sz w:val="24"/>
        <w:szCs w:val="24"/>
      </w:rPr>
    </w:lvl>
    <w:lvl w:ilvl="2">
      <w:start w:val="1"/>
      <w:numFmt w:val="decimal"/>
      <w:lvlText w:val="%1.%2.%3"/>
      <w:lvlJc w:val="left"/>
      <w:pPr>
        <w:tabs>
          <w:tab w:val="num" w:pos="2160"/>
        </w:tabs>
        <w:ind w:left="2160" w:hanging="1080"/>
      </w:pPr>
      <w:rPr>
        <w:rFonts w:ascii="Arial" w:hAnsi="Arial" w:hint="default"/>
        <w:b/>
        <w:i w:val="0"/>
        <w:sz w:val="24"/>
        <w:szCs w:val="24"/>
      </w:rPr>
    </w:lvl>
    <w:lvl w:ilvl="3">
      <w:start w:val="1"/>
      <w:numFmt w:val="decimal"/>
      <w:lvlText w:val="%1.%2.%3.%4"/>
      <w:lvlJc w:val="left"/>
      <w:pPr>
        <w:tabs>
          <w:tab w:val="num" w:pos="3240"/>
        </w:tabs>
        <w:ind w:left="3240" w:hanging="1080"/>
      </w:pPr>
      <w:rPr>
        <w:rFonts w:ascii="Arial" w:hAnsi="Arial"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7903098"/>
    <w:multiLevelType w:val="hybridMultilevel"/>
    <w:tmpl w:val="D0A289D6"/>
    <w:lvl w:ilvl="0" w:tplc="08090001">
      <w:start w:val="1"/>
      <w:numFmt w:val="bullet"/>
      <w:lvlText w:val=""/>
      <w:lvlJc w:val="left"/>
      <w:pPr>
        <w:ind w:left="780" w:hanging="360"/>
      </w:pPr>
      <w:rPr>
        <w:rFonts w:ascii="Symbol" w:hAnsi="Symbol"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0" w15:restartNumberingAfterBreak="0">
    <w:nsid w:val="4ABF3FC8"/>
    <w:multiLevelType w:val="hybridMultilevel"/>
    <w:tmpl w:val="20523B5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D17261"/>
    <w:multiLevelType w:val="hybridMultilevel"/>
    <w:tmpl w:val="61B27D8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52F07DDF"/>
    <w:multiLevelType w:val="hybridMultilevel"/>
    <w:tmpl w:val="4B08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256731"/>
    <w:multiLevelType w:val="hybridMultilevel"/>
    <w:tmpl w:val="00A4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0032E"/>
    <w:multiLevelType w:val="hybridMultilevel"/>
    <w:tmpl w:val="088A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D741EC"/>
    <w:multiLevelType w:val="hybridMultilevel"/>
    <w:tmpl w:val="6C6ABA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57EF26AD"/>
    <w:multiLevelType w:val="hybridMultilevel"/>
    <w:tmpl w:val="F23EB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F5296D"/>
    <w:multiLevelType w:val="hybridMultilevel"/>
    <w:tmpl w:val="247C220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9274ED"/>
    <w:multiLevelType w:val="hybridMultilevel"/>
    <w:tmpl w:val="FA1E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C22AD5"/>
    <w:multiLevelType w:val="hybridMultilevel"/>
    <w:tmpl w:val="DBEA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5E47FB"/>
    <w:multiLevelType w:val="hybridMultilevel"/>
    <w:tmpl w:val="637C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5B3908"/>
    <w:multiLevelType w:val="hybridMultilevel"/>
    <w:tmpl w:val="38C44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CF09B7"/>
    <w:multiLevelType w:val="hybridMultilevel"/>
    <w:tmpl w:val="A8E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8F3A08"/>
    <w:multiLevelType w:val="hybridMultilevel"/>
    <w:tmpl w:val="13B6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C743A9"/>
    <w:multiLevelType w:val="hybridMultilevel"/>
    <w:tmpl w:val="C988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E66038"/>
    <w:multiLevelType w:val="hybridMultilevel"/>
    <w:tmpl w:val="FA76463C"/>
    <w:lvl w:ilvl="0" w:tplc="5DD2DFB2">
      <w:start w:val="1"/>
      <w:numFmt w:val="bullet"/>
      <w:pStyle w:val="Bullet"/>
      <w:lvlText w:val="•"/>
      <w:lvlJc w:val="left"/>
      <w:pPr>
        <w:tabs>
          <w:tab w:val="num" w:pos="717"/>
        </w:tabs>
        <w:ind w:left="717" w:hanging="360"/>
      </w:pPr>
      <w:rPr>
        <w:rFonts w:ascii="Arial" w:hAnsi="Arial" w:hint="default"/>
        <w:b w:val="0"/>
        <w:i w:val="0"/>
        <w:sz w:val="24"/>
        <w:szCs w:val="24"/>
      </w:rPr>
    </w:lvl>
    <w:lvl w:ilvl="1" w:tplc="4274A684" w:tentative="1">
      <w:start w:val="1"/>
      <w:numFmt w:val="bullet"/>
      <w:lvlText w:val="o"/>
      <w:lvlJc w:val="left"/>
      <w:pPr>
        <w:tabs>
          <w:tab w:val="num" w:pos="1440"/>
        </w:tabs>
        <w:ind w:left="1440" w:hanging="360"/>
      </w:pPr>
      <w:rPr>
        <w:rFonts w:ascii="Courier New" w:hAnsi="Courier New" w:cs="Courier New" w:hint="default"/>
      </w:rPr>
    </w:lvl>
    <w:lvl w:ilvl="2" w:tplc="9E64E930" w:tentative="1">
      <w:start w:val="1"/>
      <w:numFmt w:val="bullet"/>
      <w:lvlText w:val=""/>
      <w:lvlJc w:val="left"/>
      <w:pPr>
        <w:tabs>
          <w:tab w:val="num" w:pos="2160"/>
        </w:tabs>
        <w:ind w:left="2160" w:hanging="360"/>
      </w:pPr>
      <w:rPr>
        <w:rFonts w:ascii="Wingdings" w:hAnsi="Wingdings" w:hint="default"/>
      </w:rPr>
    </w:lvl>
    <w:lvl w:ilvl="3" w:tplc="7870C2AA" w:tentative="1">
      <w:start w:val="1"/>
      <w:numFmt w:val="bullet"/>
      <w:lvlText w:val=""/>
      <w:lvlJc w:val="left"/>
      <w:pPr>
        <w:tabs>
          <w:tab w:val="num" w:pos="2880"/>
        </w:tabs>
        <w:ind w:left="2880" w:hanging="360"/>
      </w:pPr>
      <w:rPr>
        <w:rFonts w:ascii="Symbol" w:hAnsi="Symbol" w:hint="default"/>
      </w:rPr>
    </w:lvl>
    <w:lvl w:ilvl="4" w:tplc="9F30A032" w:tentative="1">
      <w:start w:val="1"/>
      <w:numFmt w:val="bullet"/>
      <w:lvlText w:val="o"/>
      <w:lvlJc w:val="left"/>
      <w:pPr>
        <w:tabs>
          <w:tab w:val="num" w:pos="3600"/>
        </w:tabs>
        <w:ind w:left="3600" w:hanging="360"/>
      </w:pPr>
      <w:rPr>
        <w:rFonts w:ascii="Courier New" w:hAnsi="Courier New" w:cs="Courier New" w:hint="default"/>
      </w:rPr>
    </w:lvl>
    <w:lvl w:ilvl="5" w:tplc="3B545302" w:tentative="1">
      <w:start w:val="1"/>
      <w:numFmt w:val="bullet"/>
      <w:lvlText w:val=""/>
      <w:lvlJc w:val="left"/>
      <w:pPr>
        <w:tabs>
          <w:tab w:val="num" w:pos="4320"/>
        </w:tabs>
        <w:ind w:left="4320" w:hanging="360"/>
      </w:pPr>
      <w:rPr>
        <w:rFonts w:ascii="Wingdings" w:hAnsi="Wingdings" w:hint="default"/>
      </w:rPr>
    </w:lvl>
    <w:lvl w:ilvl="6" w:tplc="ED709B1E" w:tentative="1">
      <w:start w:val="1"/>
      <w:numFmt w:val="bullet"/>
      <w:lvlText w:val=""/>
      <w:lvlJc w:val="left"/>
      <w:pPr>
        <w:tabs>
          <w:tab w:val="num" w:pos="5040"/>
        </w:tabs>
        <w:ind w:left="5040" w:hanging="360"/>
      </w:pPr>
      <w:rPr>
        <w:rFonts w:ascii="Symbol" w:hAnsi="Symbol" w:hint="default"/>
      </w:rPr>
    </w:lvl>
    <w:lvl w:ilvl="7" w:tplc="3F142F9A" w:tentative="1">
      <w:start w:val="1"/>
      <w:numFmt w:val="bullet"/>
      <w:lvlText w:val="o"/>
      <w:lvlJc w:val="left"/>
      <w:pPr>
        <w:tabs>
          <w:tab w:val="num" w:pos="5760"/>
        </w:tabs>
        <w:ind w:left="5760" w:hanging="360"/>
      </w:pPr>
      <w:rPr>
        <w:rFonts w:ascii="Courier New" w:hAnsi="Courier New" w:cs="Courier New" w:hint="default"/>
      </w:rPr>
    </w:lvl>
    <w:lvl w:ilvl="8" w:tplc="8C1EBCA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556BED"/>
    <w:multiLevelType w:val="hybridMultilevel"/>
    <w:tmpl w:val="6AA0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A7353B"/>
    <w:multiLevelType w:val="hybridMultilevel"/>
    <w:tmpl w:val="CF941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28"/>
  </w:num>
  <w:num w:numId="3">
    <w:abstractNumId w:val="2"/>
  </w:num>
  <w:num w:numId="4">
    <w:abstractNumId w:val="18"/>
  </w:num>
  <w:num w:numId="5">
    <w:abstractNumId w:val="47"/>
  </w:num>
  <w:num w:numId="6">
    <w:abstractNumId w:val="46"/>
  </w:num>
  <w:num w:numId="7">
    <w:abstractNumId w:val="19"/>
  </w:num>
  <w:num w:numId="8">
    <w:abstractNumId w:val="41"/>
  </w:num>
  <w:num w:numId="9">
    <w:abstractNumId w:val="38"/>
  </w:num>
  <w:num w:numId="10">
    <w:abstractNumId w:val="7"/>
  </w:num>
  <w:num w:numId="11">
    <w:abstractNumId w:val="21"/>
  </w:num>
  <w:num w:numId="12">
    <w:abstractNumId w:val="5"/>
  </w:num>
  <w:num w:numId="13">
    <w:abstractNumId w:val="9"/>
  </w:num>
  <w:num w:numId="14">
    <w:abstractNumId w:val="43"/>
  </w:num>
  <w:num w:numId="15">
    <w:abstractNumId w:val="1"/>
  </w:num>
  <w:num w:numId="16">
    <w:abstractNumId w:val="33"/>
  </w:num>
  <w:num w:numId="17">
    <w:abstractNumId w:val="42"/>
  </w:num>
  <w:num w:numId="18">
    <w:abstractNumId w:val="44"/>
  </w:num>
  <w:num w:numId="19">
    <w:abstractNumId w:val="32"/>
  </w:num>
  <w:num w:numId="20">
    <w:abstractNumId w:val="36"/>
  </w:num>
  <w:num w:numId="21">
    <w:abstractNumId w:val="23"/>
  </w:num>
  <w:num w:numId="22">
    <w:abstractNumId w:val="12"/>
  </w:num>
  <w:num w:numId="23">
    <w:abstractNumId w:val="17"/>
  </w:num>
  <w:num w:numId="24">
    <w:abstractNumId w:val="40"/>
  </w:num>
  <w:num w:numId="25">
    <w:abstractNumId w:val="15"/>
  </w:num>
  <w:num w:numId="26">
    <w:abstractNumId w:val="13"/>
  </w:num>
  <w:num w:numId="27">
    <w:abstractNumId w:val="4"/>
  </w:num>
  <w:num w:numId="28">
    <w:abstractNumId w:val="10"/>
  </w:num>
  <w:num w:numId="29">
    <w:abstractNumId w:val="37"/>
  </w:num>
  <w:num w:numId="30">
    <w:abstractNumId w:val="30"/>
  </w:num>
  <w:num w:numId="31">
    <w:abstractNumId w:val="39"/>
  </w:num>
  <w:num w:numId="32">
    <w:abstractNumId w:val="8"/>
  </w:num>
  <w:num w:numId="33">
    <w:abstractNumId w:val="20"/>
  </w:num>
  <w:num w:numId="34">
    <w:abstractNumId w:val="35"/>
  </w:num>
  <w:num w:numId="35">
    <w:abstractNumId w:val="31"/>
  </w:num>
  <w:num w:numId="36">
    <w:abstractNumId w:val="24"/>
  </w:num>
  <w:num w:numId="37">
    <w:abstractNumId w:val="0"/>
  </w:num>
  <w:num w:numId="38">
    <w:abstractNumId w:val="26"/>
  </w:num>
  <w:num w:numId="39">
    <w:abstractNumId w:val="14"/>
  </w:num>
  <w:num w:numId="40">
    <w:abstractNumId w:val="29"/>
  </w:num>
  <w:num w:numId="41">
    <w:abstractNumId w:val="6"/>
  </w:num>
  <w:num w:numId="42">
    <w:abstractNumId w:val="27"/>
  </w:num>
  <w:num w:numId="43">
    <w:abstractNumId w:val="3"/>
  </w:num>
  <w:num w:numId="44">
    <w:abstractNumId w:val="34"/>
  </w:num>
  <w:num w:numId="45">
    <w:abstractNumId w:val="16"/>
  </w:num>
  <w:num w:numId="46">
    <w:abstractNumId w:val="11"/>
  </w:num>
  <w:num w:numId="47">
    <w:abstractNumId w:val="25"/>
  </w:num>
  <w:num w:numId="48">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2529">
      <o:colormru v:ext="edit" colors="#00bff2,#4c5cc5,#61c250,#f0ab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A7"/>
    <w:rsid w:val="00000F39"/>
    <w:rsid w:val="00003C48"/>
    <w:rsid w:val="0001728E"/>
    <w:rsid w:val="00021FA2"/>
    <w:rsid w:val="000231FF"/>
    <w:rsid w:val="000363AF"/>
    <w:rsid w:val="0004361A"/>
    <w:rsid w:val="00044320"/>
    <w:rsid w:val="00045D9E"/>
    <w:rsid w:val="00094CB1"/>
    <w:rsid w:val="000A5717"/>
    <w:rsid w:val="000A7AC8"/>
    <w:rsid w:val="000B12A2"/>
    <w:rsid w:val="000D3527"/>
    <w:rsid w:val="000E2C85"/>
    <w:rsid w:val="000E71F2"/>
    <w:rsid w:val="000F2784"/>
    <w:rsid w:val="000F6A09"/>
    <w:rsid w:val="00104888"/>
    <w:rsid w:val="00106FCD"/>
    <w:rsid w:val="001127BF"/>
    <w:rsid w:val="0011529E"/>
    <w:rsid w:val="00141C49"/>
    <w:rsid w:val="00154447"/>
    <w:rsid w:val="00157F65"/>
    <w:rsid w:val="00163165"/>
    <w:rsid w:val="001762AD"/>
    <w:rsid w:val="001914EA"/>
    <w:rsid w:val="00194520"/>
    <w:rsid w:val="0019491A"/>
    <w:rsid w:val="00195F16"/>
    <w:rsid w:val="001A3B51"/>
    <w:rsid w:val="001B0A47"/>
    <w:rsid w:val="001B46AB"/>
    <w:rsid w:val="001C0AA8"/>
    <w:rsid w:val="001C56BD"/>
    <w:rsid w:val="001E21D5"/>
    <w:rsid w:val="002103DE"/>
    <w:rsid w:val="00211073"/>
    <w:rsid w:val="002167AF"/>
    <w:rsid w:val="0024682B"/>
    <w:rsid w:val="00246979"/>
    <w:rsid w:val="0025358F"/>
    <w:rsid w:val="00254B77"/>
    <w:rsid w:val="0026384D"/>
    <w:rsid w:val="002853DF"/>
    <w:rsid w:val="00285E54"/>
    <w:rsid w:val="00296694"/>
    <w:rsid w:val="002A3C43"/>
    <w:rsid w:val="002B0595"/>
    <w:rsid w:val="002B1DBB"/>
    <w:rsid w:val="002C63FA"/>
    <w:rsid w:val="002C7CC5"/>
    <w:rsid w:val="002D08C4"/>
    <w:rsid w:val="002D2809"/>
    <w:rsid w:val="002E25F7"/>
    <w:rsid w:val="003001F1"/>
    <w:rsid w:val="00305F32"/>
    <w:rsid w:val="00323E56"/>
    <w:rsid w:val="00337200"/>
    <w:rsid w:val="0033721C"/>
    <w:rsid w:val="0035681B"/>
    <w:rsid w:val="003768DA"/>
    <w:rsid w:val="0038241B"/>
    <w:rsid w:val="00394927"/>
    <w:rsid w:val="003A3C7F"/>
    <w:rsid w:val="003B3D47"/>
    <w:rsid w:val="003D4CDC"/>
    <w:rsid w:val="003E20ED"/>
    <w:rsid w:val="003E27DB"/>
    <w:rsid w:val="003F20AC"/>
    <w:rsid w:val="003F31AD"/>
    <w:rsid w:val="003F397A"/>
    <w:rsid w:val="004143EB"/>
    <w:rsid w:val="00425203"/>
    <w:rsid w:val="00426AA8"/>
    <w:rsid w:val="004312E0"/>
    <w:rsid w:val="00433ECB"/>
    <w:rsid w:val="00434F9E"/>
    <w:rsid w:val="0043605C"/>
    <w:rsid w:val="004377AB"/>
    <w:rsid w:val="004473EE"/>
    <w:rsid w:val="004538E5"/>
    <w:rsid w:val="0046163A"/>
    <w:rsid w:val="00482331"/>
    <w:rsid w:val="00484A99"/>
    <w:rsid w:val="00491176"/>
    <w:rsid w:val="004A0156"/>
    <w:rsid w:val="004A1A66"/>
    <w:rsid w:val="004A2211"/>
    <w:rsid w:val="004C316A"/>
    <w:rsid w:val="004C7002"/>
    <w:rsid w:val="004D268B"/>
    <w:rsid w:val="004E33B9"/>
    <w:rsid w:val="004E7CD9"/>
    <w:rsid w:val="00505787"/>
    <w:rsid w:val="00505DEC"/>
    <w:rsid w:val="005063C1"/>
    <w:rsid w:val="005073B2"/>
    <w:rsid w:val="00527F35"/>
    <w:rsid w:val="00530665"/>
    <w:rsid w:val="00542FC2"/>
    <w:rsid w:val="00566D2B"/>
    <w:rsid w:val="00576CA9"/>
    <w:rsid w:val="00580883"/>
    <w:rsid w:val="0058112C"/>
    <w:rsid w:val="00583547"/>
    <w:rsid w:val="005A0843"/>
    <w:rsid w:val="005A18D0"/>
    <w:rsid w:val="005A60AC"/>
    <w:rsid w:val="005B4885"/>
    <w:rsid w:val="005B6F31"/>
    <w:rsid w:val="005D2ED4"/>
    <w:rsid w:val="0061109F"/>
    <w:rsid w:val="00612FC7"/>
    <w:rsid w:val="00613832"/>
    <w:rsid w:val="00614F77"/>
    <w:rsid w:val="00617A3E"/>
    <w:rsid w:val="00621D5C"/>
    <w:rsid w:val="0062460A"/>
    <w:rsid w:val="006256BD"/>
    <w:rsid w:val="006422EF"/>
    <w:rsid w:val="006476AA"/>
    <w:rsid w:val="00652B76"/>
    <w:rsid w:val="0065573C"/>
    <w:rsid w:val="00670BFB"/>
    <w:rsid w:val="00676688"/>
    <w:rsid w:val="0067777E"/>
    <w:rsid w:val="00680004"/>
    <w:rsid w:val="0068601B"/>
    <w:rsid w:val="00693204"/>
    <w:rsid w:val="00695252"/>
    <w:rsid w:val="006A254D"/>
    <w:rsid w:val="006A7F81"/>
    <w:rsid w:val="006B33AB"/>
    <w:rsid w:val="006B4AE4"/>
    <w:rsid w:val="006B7BEE"/>
    <w:rsid w:val="006C0C7B"/>
    <w:rsid w:val="006C2D36"/>
    <w:rsid w:val="006C4790"/>
    <w:rsid w:val="006D01BF"/>
    <w:rsid w:val="006E4362"/>
    <w:rsid w:val="006F2268"/>
    <w:rsid w:val="006F4068"/>
    <w:rsid w:val="007040D4"/>
    <w:rsid w:val="007214A8"/>
    <w:rsid w:val="0072379B"/>
    <w:rsid w:val="00725A08"/>
    <w:rsid w:val="0073473F"/>
    <w:rsid w:val="00747DDB"/>
    <w:rsid w:val="00761EB1"/>
    <w:rsid w:val="0078245D"/>
    <w:rsid w:val="00783908"/>
    <w:rsid w:val="00786305"/>
    <w:rsid w:val="00797021"/>
    <w:rsid w:val="007A0145"/>
    <w:rsid w:val="007A35A7"/>
    <w:rsid w:val="007B553B"/>
    <w:rsid w:val="007C1266"/>
    <w:rsid w:val="007C500D"/>
    <w:rsid w:val="007C58E0"/>
    <w:rsid w:val="007C7018"/>
    <w:rsid w:val="007D7D55"/>
    <w:rsid w:val="007E0462"/>
    <w:rsid w:val="007F58BD"/>
    <w:rsid w:val="007F672D"/>
    <w:rsid w:val="00802FEC"/>
    <w:rsid w:val="0080375F"/>
    <w:rsid w:val="008040D7"/>
    <w:rsid w:val="00816A3B"/>
    <w:rsid w:val="008202C8"/>
    <w:rsid w:val="0082171E"/>
    <w:rsid w:val="00847377"/>
    <w:rsid w:val="00852703"/>
    <w:rsid w:val="008609A4"/>
    <w:rsid w:val="0087058A"/>
    <w:rsid w:val="00874CF7"/>
    <w:rsid w:val="00883A1A"/>
    <w:rsid w:val="00890F42"/>
    <w:rsid w:val="008932E3"/>
    <w:rsid w:val="008A2B38"/>
    <w:rsid w:val="008C0F94"/>
    <w:rsid w:val="008D3CCC"/>
    <w:rsid w:val="008D4E63"/>
    <w:rsid w:val="008E2B78"/>
    <w:rsid w:val="008F6809"/>
    <w:rsid w:val="0090249D"/>
    <w:rsid w:val="009066AA"/>
    <w:rsid w:val="00923E66"/>
    <w:rsid w:val="0092703C"/>
    <w:rsid w:val="00936D2B"/>
    <w:rsid w:val="00940749"/>
    <w:rsid w:val="00940983"/>
    <w:rsid w:val="0094175D"/>
    <w:rsid w:val="0095657A"/>
    <w:rsid w:val="00960D0B"/>
    <w:rsid w:val="00965CB1"/>
    <w:rsid w:val="00970799"/>
    <w:rsid w:val="0098133B"/>
    <w:rsid w:val="00983044"/>
    <w:rsid w:val="009A5321"/>
    <w:rsid w:val="009B381D"/>
    <w:rsid w:val="009B3BAD"/>
    <w:rsid w:val="009B533A"/>
    <w:rsid w:val="009C6BF1"/>
    <w:rsid w:val="009E09D6"/>
    <w:rsid w:val="009E1489"/>
    <w:rsid w:val="009E1B99"/>
    <w:rsid w:val="009E6349"/>
    <w:rsid w:val="009F697E"/>
    <w:rsid w:val="00A026CF"/>
    <w:rsid w:val="00A059C6"/>
    <w:rsid w:val="00A07361"/>
    <w:rsid w:val="00A157C4"/>
    <w:rsid w:val="00A1796B"/>
    <w:rsid w:val="00A20E97"/>
    <w:rsid w:val="00A27215"/>
    <w:rsid w:val="00A33390"/>
    <w:rsid w:val="00A33DBF"/>
    <w:rsid w:val="00A6234C"/>
    <w:rsid w:val="00A6433D"/>
    <w:rsid w:val="00A74D2F"/>
    <w:rsid w:val="00A817E9"/>
    <w:rsid w:val="00A82C0F"/>
    <w:rsid w:val="00A84946"/>
    <w:rsid w:val="00AA08BB"/>
    <w:rsid w:val="00AB37AA"/>
    <w:rsid w:val="00AB6784"/>
    <w:rsid w:val="00AC011D"/>
    <w:rsid w:val="00AC28A9"/>
    <w:rsid w:val="00AC631E"/>
    <w:rsid w:val="00AD1F8D"/>
    <w:rsid w:val="00AD6260"/>
    <w:rsid w:val="00AD6357"/>
    <w:rsid w:val="00AE6187"/>
    <w:rsid w:val="00B06DBC"/>
    <w:rsid w:val="00B109AF"/>
    <w:rsid w:val="00B10B30"/>
    <w:rsid w:val="00B3227B"/>
    <w:rsid w:val="00B474B7"/>
    <w:rsid w:val="00B60A6D"/>
    <w:rsid w:val="00B8772A"/>
    <w:rsid w:val="00B92217"/>
    <w:rsid w:val="00B93926"/>
    <w:rsid w:val="00B969BE"/>
    <w:rsid w:val="00BA4F83"/>
    <w:rsid w:val="00BB2D69"/>
    <w:rsid w:val="00BB4634"/>
    <w:rsid w:val="00BC1A1D"/>
    <w:rsid w:val="00BC671D"/>
    <w:rsid w:val="00BC752A"/>
    <w:rsid w:val="00BD26F6"/>
    <w:rsid w:val="00BD4956"/>
    <w:rsid w:val="00BD619C"/>
    <w:rsid w:val="00BE12E9"/>
    <w:rsid w:val="00C07289"/>
    <w:rsid w:val="00C1093E"/>
    <w:rsid w:val="00C1740E"/>
    <w:rsid w:val="00C17A53"/>
    <w:rsid w:val="00C24EE8"/>
    <w:rsid w:val="00C319E6"/>
    <w:rsid w:val="00C402BB"/>
    <w:rsid w:val="00C500C9"/>
    <w:rsid w:val="00C73DF2"/>
    <w:rsid w:val="00C77828"/>
    <w:rsid w:val="00C83DDE"/>
    <w:rsid w:val="00C85D00"/>
    <w:rsid w:val="00C8613F"/>
    <w:rsid w:val="00CA629D"/>
    <w:rsid w:val="00CB33F8"/>
    <w:rsid w:val="00CD3497"/>
    <w:rsid w:val="00CD5F4E"/>
    <w:rsid w:val="00CD7120"/>
    <w:rsid w:val="00CF72EA"/>
    <w:rsid w:val="00D1631D"/>
    <w:rsid w:val="00D32346"/>
    <w:rsid w:val="00D3658C"/>
    <w:rsid w:val="00D40B41"/>
    <w:rsid w:val="00D4165E"/>
    <w:rsid w:val="00D41E61"/>
    <w:rsid w:val="00D42227"/>
    <w:rsid w:val="00D45939"/>
    <w:rsid w:val="00D507BD"/>
    <w:rsid w:val="00D50D73"/>
    <w:rsid w:val="00D51C34"/>
    <w:rsid w:val="00D53163"/>
    <w:rsid w:val="00D63CCD"/>
    <w:rsid w:val="00D64A9D"/>
    <w:rsid w:val="00D65506"/>
    <w:rsid w:val="00D70DD2"/>
    <w:rsid w:val="00D714B9"/>
    <w:rsid w:val="00D76045"/>
    <w:rsid w:val="00D81546"/>
    <w:rsid w:val="00D83A24"/>
    <w:rsid w:val="00D84168"/>
    <w:rsid w:val="00D849F4"/>
    <w:rsid w:val="00D85E7A"/>
    <w:rsid w:val="00D92710"/>
    <w:rsid w:val="00DA3AD8"/>
    <w:rsid w:val="00DC5F39"/>
    <w:rsid w:val="00DC7FC4"/>
    <w:rsid w:val="00DD34FA"/>
    <w:rsid w:val="00DD3E15"/>
    <w:rsid w:val="00DD784B"/>
    <w:rsid w:val="00DF33D9"/>
    <w:rsid w:val="00DF3400"/>
    <w:rsid w:val="00E02F8C"/>
    <w:rsid w:val="00E14479"/>
    <w:rsid w:val="00E150FF"/>
    <w:rsid w:val="00E2241F"/>
    <w:rsid w:val="00E3264A"/>
    <w:rsid w:val="00E53F81"/>
    <w:rsid w:val="00E56284"/>
    <w:rsid w:val="00E602D0"/>
    <w:rsid w:val="00E74E39"/>
    <w:rsid w:val="00E80C71"/>
    <w:rsid w:val="00E93930"/>
    <w:rsid w:val="00E95D41"/>
    <w:rsid w:val="00EA015D"/>
    <w:rsid w:val="00EA5225"/>
    <w:rsid w:val="00EB1EDD"/>
    <w:rsid w:val="00EB37C2"/>
    <w:rsid w:val="00EB7850"/>
    <w:rsid w:val="00ED5751"/>
    <w:rsid w:val="00EE4979"/>
    <w:rsid w:val="00EF2254"/>
    <w:rsid w:val="00EF2B21"/>
    <w:rsid w:val="00EF592C"/>
    <w:rsid w:val="00F020CC"/>
    <w:rsid w:val="00F14AFE"/>
    <w:rsid w:val="00F23602"/>
    <w:rsid w:val="00F254E8"/>
    <w:rsid w:val="00F37333"/>
    <w:rsid w:val="00F53139"/>
    <w:rsid w:val="00F60B44"/>
    <w:rsid w:val="00F6388B"/>
    <w:rsid w:val="00F663E1"/>
    <w:rsid w:val="00F66968"/>
    <w:rsid w:val="00F72C25"/>
    <w:rsid w:val="00F76FBB"/>
    <w:rsid w:val="00F865D0"/>
    <w:rsid w:val="00F86EDB"/>
    <w:rsid w:val="00F872F9"/>
    <w:rsid w:val="00F95519"/>
    <w:rsid w:val="00FA728B"/>
    <w:rsid w:val="00FB331F"/>
    <w:rsid w:val="00FB4E05"/>
    <w:rsid w:val="00FC408E"/>
    <w:rsid w:val="00FD0BB3"/>
    <w:rsid w:val="00FD30B5"/>
    <w:rsid w:val="00FD3F3E"/>
    <w:rsid w:val="00FE1357"/>
    <w:rsid w:val="00FE2BBF"/>
    <w:rsid w:val="00FE4D7A"/>
    <w:rsid w:val="00FF5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00bff2,#4c5cc5,#61c250,#f0ab00"/>
    </o:shapedefaults>
    <o:shapelayout v:ext="edit">
      <o:idmap v:ext="edit" data="1"/>
    </o:shapelayout>
  </w:shapeDefaults>
  <w:decimalSymbol w:val="."/>
  <w:listSeparator w:val=","/>
  <w14:docId w14:val="37F53B04"/>
  <w15:docId w15:val="{C93177A2-35F6-418E-B89C-4EFBF442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D5C"/>
    <w:rPr>
      <w:rFonts w:ascii="Arial" w:hAnsi="Arial"/>
      <w:lang w:val="en-ZA" w:eastAsia="en-ZA"/>
    </w:rPr>
  </w:style>
  <w:style w:type="paragraph" w:styleId="Heading1">
    <w:name w:val="heading 1"/>
    <w:basedOn w:val="Normal"/>
    <w:next w:val="Normal"/>
    <w:link w:val="Heading1Char"/>
    <w:qFormat/>
    <w:rsid w:val="00C1093E"/>
    <w:pPr>
      <w:keepNext/>
      <w:spacing w:before="240" w:after="60"/>
      <w:outlineLvl w:val="0"/>
    </w:pPr>
    <w:rPr>
      <w:rFonts w:cs="Arial"/>
      <w:b/>
      <w:bCs/>
      <w:color w:val="00AFD8"/>
      <w:kern w:val="32"/>
      <w:sz w:val="36"/>
      <w:szCs w:val="36"/>
      <w:lang w:val="en-US"/>
    </w:rPr>
  </w:style>
  <w:style w:type="paragraph" w:styleId="Heading2">
    <w:name w:val="heading 2"/>
    <w:aliases w:val="Heading 2 Char3 Char,Heading 2 Char Char Char1,Heading 2 Char1 Char1 Char Char,Heading 2 Char Char Char1 Char Char,Heading 2 Char2 Char Char Char Char Char,Heading 2 Char1 Char Char Char Char Char Char,Heading 2 Char1 Char2 Char"/>
    <w:basedOn w:val="Normal"/>
    <w:next w:val="Normal"/>
    <w:link w:val="Heading2Char"/>
    <w:qFormat/>
    <w:rsid w:val="00106FCD"/>
    <w:pPr>
      <w:keepNext/>
      <w:spacing w:before="240" w:after="60"/>
      <w:outlineLvl w:val="1"/>
    </w:pPr>
    <w:rPr>
      <w:rFonts w:cs="Arial"/>
      <w:b/>
      <w:bCs/>
      <w:iCs/>
      <w:sz w:val="24"/>
      <w:szCs w:val="24"/>
    </w:rPr>
  </w:style>
  <w:style w:type="paragraph" w:styleId="Heading3">
    <w:name w:val="heading 3"/>
    <w:aliases w:val="Heading 3 Char,Heading 3 Char2 Char,Heading 3 Char1 Char1 Char,Heading 3 Char Char Char1 Char,Heading 3 Char2 Char Char Char Char,Heading 3 Char Char1 Char Char Char Char,Heading 3 Char1 Char Char Char Char Char Char,Heading 3 Char Char1 Char"/>
    <w:basedOn w:val="Normal"/>
    <w:next w:val="Normal"/>
    <w:qFormat/>
    <w:rsid w:val="00106FCD"/>
    <w:pPr>
      <w:keepNext/>
      <w:spacing w:before="240" w:after="60"/>
      <w:outlineLvl w:val="2"/>
    </w:pPr>
    <w:rPr>
      <w:rFonts w:cs="Arial"/>
      <w:b/>
      <w:bCs/>
    </w:rPr>
  </w:style>
  <w:style w:type="paragraph" w:styleId="Heading4">
    <w:name w:val="heading 4"/>
    <w:aliases w:val="PA Micro Section"/>
    <w:basedOn w:val="Normal"/>
    <w:next w:val="Normal"/>
    <w:link w:val="Heading4Char"/>
    <w:qFormat/>
    <w:rsid w:val="008932E3"/>
    <w:pPr>
      <w:keepNext/>
      <w:tabs>
        <w:tab w:val="left" w:pos="2325"/>
        <w:tab w:val="num" w:pos="3240"/>
      </w:tabs>
      <w:spacing w:before="240" w:after="60"/>
      <w:ind w:left="3240" w:hanging="1080"/>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ptspacing">
    <w:name w:val="5pt spacing"/>
    <w:basedOn w:val="DefaultParagraphFont"/>
    <w:rsid w:val="008A2B38"/>
    <w:rPr>
      <w:rFonts w:ascii="Arial" w:hAnsi="Arial"/>
      <w:bCs/>
      <w:sz w:val="10"/>
      <w:szCs w:val="10"/>
    </w:rPr>
  </w:style>
  <w:style w:type="paragraph" w:styleId="Header">
    <w:name w:val="header"/>
    <w:basedOn w:val="Normal"/>
    <w:rsid w:val="00CD7120"/>
    <w:pPr>
      <w:tabs>
        <w:tab w:val="center" w:pos="4153"/>
        <w:tab w:val="right" w:pos="8306"/>
      </w:tabs>
    </w:pPr>
  </w:style>
  <w:style w:type="paragraph" w:styleId="Footer">
    <w:name w:val="footer"/>
    <w:basedOn w:val="Normal"/>
    <w:rsid w:val="00CD7120"/>
    <w:pPr>
      <w:tabs>
        <w:tab w:val="center" w:pos="4153"/>
        <w:tab w:val="right" w:pos="8306"/>
      </w:tabs>
    </w:pPr>
  </w:style>
  <w:style w:type="character" w:customStyle="1" w:styleId="Heading1Char">
    <w:name w:val="Heading 1 Char"/>
    <w:basedOn w:val="DefaultParagraphFont"/>
    <w:link w:val="Heading1"/>
    <w:rsid w:val="00C1093E"/>
    <w:rPr>
      <w:rFonts w:ascii="Arial" w:hAnsi="Arial" w:cs="Arial"/>
      <w:b/>
      <w:bCs/>
      <w:color w:val="00AFD8"/>
      <w:kern w:val="32"/>
      <w:sz w:val="36"/>
      <w:szCs w:val="36"/>
      <w:lang w:val="en-US" w:eastAsia="en-ZA" w:bidi="ar-SA"/>
    </w:rPr>
  </w:style>
  <w:style w:type="character" w:customStyle="1" w:styleId="Heading2Char">
    <w:name w:val="Heading 2 Char"/>
    <w:aliases w:val="Heading 2 Char3 Char Char,Heading 2 Char Char Char1 Char,Heading 2 Char1 Char1 Char Char Char,Heading 2 Char Char Char1 Char Char Char,Heading 2 Char2 Char Char Char Char Char Char,Heading 2 Char1 Char Char Char Char Char Char Char"/>
    <w:basedOn w:val="DefaultParagraphFont"/>
    <w:link w:val="Heading2"/>
    <w:rsid w:val="00106FCD"/>
    <w:rPr>
      <w:rFonts w:ascii="Arial" w:hAnsi="Arial" w:cs="Arial"/>
      <w:b/>
      <w:bCs/>
      <w:iCs/>
      <w:color w:val="2F3840"/>
      <w:sz w:val="24"/>
      <w:szCs w:val="24"/>
      <w:lang w:val="en-ZA" w:eastAsia="en-ZA" w:bidi="ar-SA"/>
    </w:rPr>
  </w:style>
  <w:style w:type="paragraph" w:styleId="ListBullet">
    <w:name w:val="List Bullet"/>
    <w:basedOn w:val="Normal"/>
    <w:link w:val="ListBulletChar"/>
    <w:autoRedefine/>
    <w:rsid w:val="00FD3F3E"/>
    <w:rPr>
      <w:lang w:val="en-US"/>
    </w:rPr>
  </w:style>
  <w:style w:type="character" w:customStyle="1" w:styleId="ListBulletChar">
    <w:name w:val="List Bullet Char"/>
    <w:basedOn w:val="DefaultParagraphFont"/>
    <w:link w:val="ListBullet"/>
    <w:rsid w:val="00FD3F3E"/>
    <w:rPr>
      <w:rFonts w:ascii="Arial" w:hAnsi="Arial"/>
      <w:lang w:val="en-US" w:eastAsia="en-ZA"/>
    </w:rPr>
  </w:style>
  <w:style w:type="paragraph" w:customStyle="1" w:styleId="Bullet">
    <w:name w:val="Bullet"/>
    <w:basedOn w:val="Normal"/>
    <w:link w:val="BulletChar"/>
    <w:rsid w:val="00106FCD"/>
    <w:pPr>
      <w:numPr>
        <w:numId w:val="1"/>
      </w:numPr>
    </w:pPr>
  </w:style>
  <w:style w:type="character" w:customStyle="1" w:styleId="BulletChar">
    <w:name w:val="Bullet Char"/>
    <w:basedOn w:val="DefaultParagraphFont"/>
    <w:link w:val="Bullet"/>
    <w:rsid w:val="00106FCD"/>
    <w:rPr>
      <w:rFonts w:ascii="Arial" w:hAnsi="Arial"/>
      <w:lang w:val="en-ZA" w:eastAsia="en-ZA"/>
    </w:rPr>
  </w:style>
  <w:style w:type="character" w:customStyle="1" w:styleId="Heading4Char">
    <w:name w:val="Heading 4 Char"/>
    <w:aliases w:val="PA Micro Section Char"/>
    <w:basedOn w:val="DefaultParagraphFont"/>
    <w:link w:val="Heading4"/>
    <w:rsid w:val="008932E3"/>
    <w:rPr>
      <w:rFonts w:ascii="Arial" w:hAnsi="Arial"/>
      <w:b/>
      <w:bCs/>
    </w:rPr>
  </w:style>
  <w:style w:type="paragraph" w:customStyle="1" w:styleId="75IndentedParagraphCharCharCharCharCharCharCharCharCharCharChar1CharCharCharCharChar">
    <w:name w:val=".75&quot; Indented Paragraph Char Char Char Char Char Char Char Char Char Char Char1 Char Char Char Char Char"/>
    <w:basedOn w:val="Normal"/>
    <w:link w:val="75IndentedParagraphCharCharCharCharCharCharCharCharCharCharChar1CharCharCharCharCharChar"/>
    <w:rsid w:val="008932E3"/>
    <w:pPr>
      <w:tabs>
        <w:tab w:val="left" w:pos="2325"/>
      </w:tabs>
      <w:ind w:left="1080"/>
      <w:jc w:val="both"/>
    </w:pPr>
    <w:rPr>
      <w:lang w:val="en-GB" w:eastAsia="en-GB"/>
    </w:rPr>
  </w:style>
  <w:style w:type="numbering" w:customStyle="1" w:styleId="Numbering">
    <w:name w:val="Numbering"/>
    <w:basedOn w:val="NoList"/>
    <w:rsid w:val="008932E3"/>
    <w:pPr>
      <w:numPr>
        <w:numId w:val="2"/>
      </w:numPr>
    </w:pPr>
  </w:style>
  <w:style w:type="character" w:customStyle="1" w:styleId="75IndentedParagraphCharCharCharCharCharCharCharCharCharCharChar1CharCharCharCharCharChar">
    <w:name w:val=".75&quot; Indented Paragraph Char Char Char Char Char Char Char Char Char Char Char1 Char Char Char Char Char Char"/>
    <w:basedOn w:val="DefaultParagraphFont"/>
    <w:link w:val="75IndentedParagraphCharCharCharCharCharCharCharCharCharCharChar1CharCharCharCharChar"/>
    <w:rsid w:val="008932E3"/>
    <w:rPr>
      <w:rFonts w:ascii="Arial" w:hAnsi="Arial"/>
    </w:rPr>
  </w:style>
  <w:style w:type="paragraph" w:styleId="FootnoteText">
    <w:name w:val="footnote text"/>
    <w:basedOn w:val="Normal"/>
    <w:link w:val="FootnoteTextChar"/>
    <w:rsid w:val="008932E3"/>
    <w:pPr>
      <w:tabs>
        <w:tab w:val="left" w:pos="2325"/>
      </w:tabs>
    </w:pPr>
    <w:rPr>
      <w:lang w:val="en-GB" w:eastAsia="en-GB"/>
    </w:rPr>
  </w:style>
  <w:style w:type="character" w:customStyle="1" w:styleId="FootnoteTextChar">
    <w:name w:val="Footnote Text Char"/>
    <w:basedOn w:val="DefaultParagraphFont"/>
    <w:link w:val="FootnoteText"/>
    <w:rsid w:val="008932E3"/>
    <w:rPr>
      <w:rFonts w:ascii="Arial" w:hAnsi="Arial"/>
    </w:rPr>
  </w:style>
  <w:style w:type="character" w:styleId="FootnoteReference">
    <w:name w:val="footnote reference"/>
    <w:basedOn w:val="DefaultParagraphFont"/>
    <w:rsid w:val="008932E3"/>
    <w:rPr>
      <w:vertAlign w:val="superscript"/>
    </w:rPr>
  </w:style>
  <w:style w:type="character" w:customStyle="1" w:styleId="Heading2Char2">
    <w:name w:val="Heading 2 Char2"/>
    <w:aliases w:val="Heading 2 Char1 Char,Heading 2 Char Char Char,PA Major Section Char Char Char,PA Major Section Char1 Char1,Heading 2 Char Char1,PA Major Section Char1 Char Char,Heading 2 Char1 Char Char Char,Heading 2 Char Char Char Char Char"/>
    <w:basedOn w:val="DefaultParagraphFont"/>
    <w:rsid w:val="008932E3"/>
    <w:rPr>
      <w:rFonts w:ascii="Arial" w:hAnsi="Arial" w:cs="Arial"/>
      <w:b/>
      <w:bCs/>
      <w:iCs/>
      <w:sz w:val="24"/>
      <w:szCs w:val="24"/>
      <w:lang w:val="en-GB" w:eastAsia="en-GB" w:bidi="ar-SA"/>
    </w:rPr>
  </w:style>
  <w:style w:type="paragraph" w:styleId="ListParagraph">
    <w:name w:val="List Paragraph"/>
    <w:basedOn w:val="Normal"/>
    <w:uiPriority w:val="99"/>
    <w:qFormat/>
    <w:rsid w:val="008932E3"/>
    <w:pPr>
      <w:tabs>
        <w:tab w:val="left" w:pos="2325"/>
      </w:tabs>
      <w:ind w:left="720"/>
      <w:contextualSpacing/>
    </w:pPr>
    <w:rPr>
      <w:lang w:val="en-GB" w:eastAsia="en-GB"/>
    </w:rPr>
  </w:style>
  <w:style w:type="table" w:styleId="TableGrid">
    <w:name w:val="Table Grid"/>
    <w:basedOn w:val="TableNormal"/>
    <w:rsid w:val="00F2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03DE"/>
    <w:rPr>
      <w:rFonts w:ascii="Arial" w:hAnsi="Arial"/>
      <w:lang w:val="en-ZA" w:eastAsia="en-ZA"/>
    </w:rPr>
  </w:style>
  <w:style w:type="paragraph" w:styleId="BalloonText">
    <w:name w:val="Balloon Text"/>
    <w:basedOn w:val="Normal"/>
    <w:link w:val="BalloonTextChar"/>
    <w:rsid w:val="002103DE"/>
    <w:rPr>
      <w:rFonts w:ascii="Tahoma" w:hAnsi="Tahoma" w:cs="Tahoma"/>
      <w:sz w:val="16"/>
      <w:szCs w:val="16"/>
    </w:rPr>
  </w:style>
  <w:style w:type="character" w:customStyle="1" w:styleId="BalloonTextChar">
    <w:name w:val="Balloon Text Char"/>
    <w:basedOn w:val="DefaultParagraphFont"/>
    <w:link w:val="BalloonText"/>
    <w:rsid w:val="002103DE"/>
    <w:rPr>
      <w:rFonts w:ascii="Tahoma" w:hAnsi="Tahoma" w:cs="Tahoma"/>
      <w:sz w:val="16"/>
      <w:szCs w:val="16"/>
      <w:lang w:val="en-ZA" w:eastAsia="en-ZA"/>
    </w:rPr>
  </w:style>
  <w:style w:type="character" w:styleId="CommentReference">
    <w:name w:val="annotation reference"/>
    <w:basedOn w:val="DefaultParagraphFont"/>
    <w:rsid w:val="00323E56"/>
    <w:rPr>
      <w:sz w:val="16"/>
      <w:szCs w:val="16"/>
    </w:rPr>
  </w:style>
  <w:style w:type="paragraph" w:styleId="CommentText">
    <w:name w:val="annotation text"/>
    <w:basedOn w:val="Normal"/>
    <w:link w:val="CommentTextChar"/>
    <w:rsid w:val="00323E56"/>
  </w:style>
  <w:style w:type="character" w:customStyle="1" w:styleId="CommentTextChar">
    <w:name w:val="Comment Text Char"/>
    <w:basedOn w:val="DefaultParagraphFont"/>
    <w:link w:val="CommentText"/>
    <w:rsid w:val="00323E56"/>
    <w:rPr>
      <w:rFonts w:ascii="Arial" w:hAnsi="Arial"/>
      <w:lang w:val="en-ZA" w:eastAsia="en-ZA"/>
    </w:rPr>
  </w:style>
  <w:style w:type="paragraph" w:styleId="CommentSubject">
    <w:name w:val="annotation subject"/>
    <w:basedOn w:val="CommentText"/>
    <w:next w:val="CommentText"/>
    <w:link w:val="CommentSubjectChar"/>
    <w:rsid w:val="00323E56"/>
    <w:rPr>
      <w:b/>
      <w:bCs/>
    </w:rPr>
  </w:style>
  <w:style w:type="character" w:customStyle="1" w:styleId="CommentSubjectChar">
    <w:name w:val="Comment Subject Char"/>
    <w:basedOn w:val="CommentTextChar"/>
    <w:link w:val="CommentSubject"/>
    <w:rsid w:val="00323E56"/>
    <w:rPr>
      <w:rFonts w:ascii="Arial" w:hAnsi="Arial"/>
      <w:b/>
      <w:bCs/>
      <w:lang w:val="en-ZA" w:eastAsia="en-ZA"/>
    </w:rPr>
  </w:style>
  <w:style w:type="paragraph" w:styleId="NormalWeb">
    <w:name w:val="Normal (Web)"/>
    <w:basedOn w:val="Normal"/>
    <w:uiPriority w:val="99"/>
    <w:unhideWhenUsed/>
    <w:rsid w:val="0072379B"/>
    <w:pPr>
      <w:spacing w:before="100" w:beforeAutospacing="1" w:after="100" w:afterAutospacing="1"/>
    </w:pPr>
    <w:rPr>
      <w:rFonts w:ascii="Times New Roman" w:hAnsi="Times New Roman"/>
      <w:sz w:val="24"/>
      <w:szCs w:val="24"/>
      <w:lang w:val="en-GB" w:eastAsia="en-GB"/>
    </w:rPr>
  </w:style>
  <w:style w:type="paragraph" w:customStyle="1" w:styleId="Default">
    <w:name w:val="Default"/>
    <w:rsid w:val="006476AA"/>
    <w:pPr>
      <w:autoSpaceDE w:val="0"/>
      <w:autoSpaceDN w:val="0"/>
      <w:adjustRightInd w:val="0"/>
    </w:pPr>
    <w:rPr>
      <w:rFonts w:ascii="Arial" w:hAnsi="Arial" w:cs="Arial"/>
      <w:color w:val="000000"/>
      <w:sz w:val="24"/>
      <w:szCs w:val="24"/>
    </w:rPr>
  </w:style>
  <w:style w:type="paragraph" w:customStyle="1" w:styleId="Bodytext">
    <w:name w:val="~Body text"/>
    <w:qFormat/>
    <w:rsid w:val="00DC7FC4"/>
    <w:pPr>
      <w:spacing w:after="120"/>
    </w:pPr>
    <w:rPr>
      <w:rFonts w:asciiTheme="minorHAnsi" w:eastAsiaTheme="minorHAnsi" w:hAnsiTheme="minorHAnsi" w:cstheme="minorBidi"/>
      <w:color w:val="1F497D" w:themeColor="text2"/>
      <w:szCs w:val="72"/>
      <w:lang w:val="en-NZ" w:eastAsia="en-US"/>
    </w:rPr>
  </w:style>
  <w:style w:type="character" w:styleId="Hyperlink">
    <w:name w:val="Hyperlink"/>
    <w:basedOn w:val="DefaultParagraphFont"/>
    <w:unhideWhenUsed/>
    <w:rsid w:val="009C6BF1"/>
    <w:rPr>
      <w:color w:val="0000FF" w:themeColor="hyperlink"/>
      <w:u w:val="single"/>
    </w:rPr>
  </w:style>
  <w:style w:type="paragraph" w:styleId="EndnoteText">
    <w:name w:val="endnote text"/>
    <w:basedOn w:val="Normal"/>
    <w:link w:val="EndnoteTextChar"/>
    <w:semiHidden/>
    <w:unhideWhenUsed/>
    <w:rsid w:val="00194520"/>
  </w:style>
  <w:style w:type="character" w:customStyle="1" w:styleId="EndnoteTextChar">
    <w:name w:val="Endnote Text Char"/>
    <w:basedOn w:val="DefaultParagraphFont"/>
    <w:link w:val="EndnoteText"/>
    <w:semiHidden/>
    <w:rsid w:val="00194520"/>
    <w:rPr>
      <w:rFonts w:ascii="Arial" w:hAnsi="Arial"/>
      <w:lang w:val="en-ZA" w:eastAsia="en-ZA"/>
    </w:rPr>
  </w:style>
  <w:style w:type="character" w:styleId="EndnoteReference">
    <w:name w:val="endnote reference"/>
    <w:basedOn w:val="DefaultParagraphFont"/>
    <w:semiHidden/>
    <w:unhideWhenUsed/>
    <w:rsid w:val="001945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0459">
      <w:bodyDiv w:val="1"/>
      <w:marLeft w:val="0"/>
      <w:marRight w:val="0"/>
      <w:marTop w:val="0"/>
      <w:marBottom w:val="0"/>
      <w:divBdr>
        <w:top w:val="none" w:sz="0" w:space="0" w:color="auto"/>
        <w:left w:val="none" w:sz="0" w:space="0" w:color="auto"/>
        <w:bottom w:val="none" w:sz="0" w:space="0" w:color="auto"/>
        <w:right w:val="none" w:sz="0" w:space="0" w:color="auto"/>
      </w:divBdr>
    </w:div>
    <w:div w:id="194776911">
      <w:bodyDiv w:val="1"/>
      <w:marLeft w:val="0"/>
      <w:marRight w:val="0"/>
      <w:marTop w:val="0"/>
      <w:marBottom w:val="0"/>
      <w:divBdr>
        <w:top w:val="none" w:sz="0" w:space="0" w:color="auto"/>
        <w:left w:val="none" w:sz="0" w:space="0" w:color="auto"/>
        <w:bottom w:val="none" w:sz="0" w:space="0" w:color="auto"/>
        <w:right w:val="none" w:sz="0" w:space="0" w:color="auto"/>
      </w:divBdr>
    </w:div>
    <w:div w:id="242032143">
      <w:bodyDiv w:val="1"/>
      <w:marLeft w:val="0"/>
      <w:marRight w:val="0"/>
      <w:marTop w:val="0"/>
      <w:marBottom w:val="0"/>
      <w:divBdr>
        <w:top w:val="none" w:sz="0" w:space="0" w:color="auto"/>
        <w:left w:val="none" w:sz="0" w:space="0" w:color="auto"/>
        <w:bottom w:val="none" w:sz="0" w:space="0" w:color="auto"/>
        <w:right w:val="none" w:sz="0" w:space="0" w:color="auto"/>
      </w:divBdr>
    </w:div>
    <w:div w:id="659963278">
      <w:bodyDiv w:val="1"/>
      <w:marLeft w:val="0"/>
      <w:marRight w:val="0"/>
      <w:marTop w:val="0"/>
      <w:marBottom w:val="0"/>
      <w:divBdr>
        <w:top w:val="none" w:sz="0" w:space="0" w:color="auto"/>
        <w:left w:val="none" w:sz="0" w:space="0" w:color="auto"/>
        <w:bottom w:val="none" w:sz="0" w:space="0" w:color="auto"/>
        <w:right w:val="none" w:sz="0" w:space="0" w:color="auto"/>
      </w:divBdr>
    </w:div>
    <w:div w:id="965505135">
      <w:bodyDiv w:val="1"/>
      <w:marLeft w:val="0"/>
      <w:marRight w:val="0"/>
      <w:marTop w:val="0"/>
      <w:marBottom w:val="0"/>
      <w:divBdr>
        <w:top w:val="none" w:sz="0" w:space="0" w:color="auto"/>
        <w:left w:val="none" w:sz="0" w:space="0" w:color="auto"/>
        <w:bottom w:val="none" w:sz="0" w:space="0" w:color="auto"/>
        <w:right w:val="none" w:sz="0" w:space="0" w:color="auto"/>
      </w:divBdr>
    </w:div>
    <w:div w:id="1237862987">
      <w:bodyDiv w:val="1"/>
      <w:marLeft w:val="0"/>
      <w:marRight w:val="0"/>
      <w:marTop w:val="0"/>
      <w:marBottom w:val="0"/>
      <w:divBdr>
        <w:top w:val="none" w:sz="0" w:space="0" w:color="auto"/>
        <w:left w:val="none" w:sz="0" w:space="0" w:color="auto"/>
        <w:bottom w:val="none" w:sz="0" w:space="0" w:color="auto"/>
        <w:right w:val="none" w:sz="0" w:space="0" w:color="auto"/>
      </w:divBdr>
    </w:div>
    <w:div w:id="1665816666">
      <w:bodyDiv w:val="1"/>
      <w:marLeft w:val="0"/>
      <w:marRight w:val="0"/>
      <w:marTop w:val="0"/>
      <w:marBottom w:val="0"/>
      <w:divBdr>
        <w:top w:val="none" w:sz="0" w:space="0" w:color="auto"/>
        <w:left w:val="none" w:sz="0" w:space="0" w:color="auto"/>
        <w:bottom w:val="none" w:sz="0" w:space="0" w:color="auto"/>
        <w:right w:val="none" w:sz="0" w:space="0" w:color="auto"/>
      </w:divBdr>
    </w:div>
    <w:div w:id="1681159781">
      <w:bodyDiv w:val="1"/>
      <w:marLeft w:val="0"/>
      <w:marRight w:val="0"/>
      <w:marTop w:val="0"/>
      <w:marBottom w:val="0"/>
      <w:divBdr>
        <w:top w:val="none" w:sz="0" w:space="0" w:color="auto"/>
        <w:left w:val="none" w:sz="0" w:space="0" w:color="auto"/>
        <w:bottom w:val="none" w:sz="0" w:space="0" w:color="auto"/>
        <w:right w:val="none" w:sz="0" w:space="0" w:color="auto"/>
      </w:divBdr>
    </w:div>
    <w:div w:id="1797063587">
      <w:bodyDiv w:val="1"/>
      <w:marLeft w:val="0"/>
      <w:marRight w:val="0"/>
      <w:marTop w:val="0"/>
      <w:marBottom w:val="0"/>
      <w:divBdr>
        <w:top w:val="none" w:sz="0" w:space="0" w:color="auto"/>
        <w:left w:val="none" w:sz="0" w:space="0" w:color="auto"/>
        <w:bottom w:val="none" w:sz="0" w:space="0" w:color="auto"/>
        <w:right w:val="none" w:sz="0" w:space="0" w:color="auto"/>
      </w:divBdr>
    </w:div>
    <w:div w:id="198314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mpliance%20Templates\Compliance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E624-B650-4D49-9C53-062A8B68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Compliance_Template</Template>
  <TotalTime>3</TotalTime>
  <Pages>2</Pages>
  <Words>613</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Main heading</vt:lpstr>
    </vt:vector>
  </TitlesOfParts>
  <Company>Wired</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dc:title>
  <dc:creator>James Lovatt</dc:creator>
  <cp:lastModifiedBy>Kathryn Betts</cp:lastModifiedBy>
  <cp:revision>3</cp:revision>
  <cp:lastPrinted>2016-04-11T09:52:00Z</cp:lastPrinted>
  <dcterms:created xsi:type="dcterms:W3CDTF">2020-06-03T07:55:00Z</dcterms:created>
  <dcterms:modified xsi:type="dcterms:W3CDTF">2020-06-03T07:57:00Z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8a70db-6353-4723-9645-3c298b95df56_Enabled">
    <vt:lpwstr>True</vt:lpwstr>
  </property>
  <property fmtid="{D5CDD505-2E9C-101B-9397-08002B2CF9AE}" pid="3" name="MSIP_Label_eb8a70db-6353-4723-9645-3c298b95df56_SiteId">
    <vt:lpwstr>6d6a11bc-469a-48df-a548-d3f353ac1be8</vt:lpwstr>
  </property>
  <property fmtid="{D5CDD505-2E9C-101B-9397-08002B2CF9AE}" pid="4" name="MSIP_Label_eb8a70db-6353-4723-9645-3c298b95df56_Ref">
    <vt:lpwstr>https://api.informationprotection.azure.com/api/6d6a11bc-469a-48df-a548-d3f353ac1be8</vt:lpwstr>
  </property>
  <property fmtid="{D5CDD505-2E9C-101B-9397-08002B2CF9AE}" pid="5" name="MSIP_Label_eb8a70db-6353-4723-9645-3c298b95df56_SetDate">
    <vt:lpwstr>2018-04-30T10:07:04.1107854+01:00</vt:lpwstr>
  </property>
  <property fmtid="{D5CDD505-2E9C-101B-9397-08002B2CF9AE}" pid="6" name="MSIP_Label_eb8a70db-6353-4723-9645-3c298b95df56_Name">
    <vt:lpwstr>Investec Sensitive</vt:lpwstr>
  </property>
  <property fmtid="{D5CDD505-2E9C-101B-9397-08002B2CF9AE}" pid="7" name="MSIP_Label_eb8a70db-6353-4723-9645-3c298b95df56_Extended_MSFT_Method">
    <vt:lpwstr>Manual</vt:lpwstr>
  </property>
  <property fmtid="{D5CDD505-2E9C-101B-9397-08002B2CF9AE}" pid="8" name="Sensitivity">
    <vt:lpwstr>Investec Sensitive</vt:lpwstr>
  </property>
</Properties>
</file>